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4826" w14:textId="77777777" w:rsidR="00AC1CE9" w:rsidRDefault="00AC1CE9" w:rsidP="00AC1CE9">
      <w:pPr>
        <w:spacing w:before="63"/>
        <w:outlineLvl w:val="0"/>
        <w:rPr>
          <w:rFonts w:ascii="Times New Roman" w:eastAsia="仿宋_GB2312" w:hAnsi="Times New Roman"/>
          <w:spacing w:val="7"/>
          <w:sz w:val="32"/>
          <w:szCs w:val="32"/>
        </w:rPr>
      </w:pPr>
      <w:r>
        <w:rPr>
          <w:rFonts w:ascii="仿宋_GB2312" w:eastAsia="仿宋_GB2312" w:hAnsi="Times New Roman"/>
          <w:spacing w:val="7"/>
          <w:sz w:val="32"/>
          <w:szCs w:val="32"/>
        </w:rPr>
        <w:t>附件</w:t>
      </w:r>
      <w:r>
        <w:rPr>
          <w:rFonts w:ascii="Times New Roman" w:hAnsi="Times New Roman" w:hint="eastAsia"/>
          <w:spacing w:val="7"/>
          <w:sz w:val="32"/>
          <w:szCs w:val="32"/>
        </w:rPr>
        <w:t>1</w:t>
      </w:r>
    </w:p>
    <w:p w14:paraId="786AD950" w14:textId="77777777" w:rsidR="00AC1CE9" w:rsidRDefault="00AC1CE9" w:rsidP="00AC1CE9">
      <w:pPr>
        <w:pStyle w:val="Default"/>
        <w:spacing w:line="560" w:lineRule="exact"/>
        <w:jc w:val="center"/>
        <w:rPr>
          <w:rStyle w:val="16"/>
          <w:rFonts w:ascii="方正小标宋简体" w:eastAsia="方正小标宋简体" w:cs="Times New Roman" w:hint="default"/>
          <w:sz w:val="40"/>
          <w:szCs w:val="40"/>
        </w:rPr>
      </w:pPr>
    </w:p>
    <w:p w14:paraId="76D62BF8" w14:textId="3D296740" w:rsidR="00AC1CE9" w:rsidRDefault="00AC1CE9" w:rsidP="00AC1CE9">
      <w:pPr>
        <w:pStyle w:val="Default"/>
        <w:spacing w:line="560" w:lineRule="exact"/>
        <w:jc w:val="center"/>
        <w:rPr>
          <w:rFonts w:ascii="Times New Roman" w:eastAsia="方正小标宋简体" w:cs="Times New Roman"/>
          <w:sz w:val="32"/>
          <w:szCs w:val="32"/>
        </w:rPr>
      </w:pPr>
      <w:r>
        <w:rPr>
          <w:rStyle w:val="16"/>
          <w:rFonts w:ascii="方正小标宋简体" w:eastAsia="方正小标宋简体" w:cs="Times New Roman" w:hint="default"/>
          <w:sz w:val="40"/>
          <w:szCs w:val="40"/>
        </w:rPr>
        <w:t>四川省历史遗留废弃矿山生态修复资金年度绩效考评表</w:t>
      </w:r>
      <w:r>
        <w:rPr>
          <w:rFonts w:ascii="Times New Roman" w:eastAsia="方正小标宋简体" w:cs="Times New Roman"/>
          <w:sz w:val="40"/>
          <w:szCs w:val="40"/>
        </w:rPr>
        <w:br/>
      </w:r>
      <w:r>
        <w:rPr>
          <w:rStyle w:val="16"/>
          <w:rFonts w:ascii="方正小标宋简体" w:eastAsia="方正小标宋简体" w:cs="Times New Roman" w:hint="default"/>
          <w:sz w:val="32"/>
          <w:szCs w:val="32"/>
        </w:rPr>
        <w:t>（</w:t>
      </w:r>
      <w:r>
        <w:rPr>
          <w:rFonts w:ascii="Times New Roman" w:eastAsia="方正小标宋简体" w:cs="Times New Roman"/>
          <w:sz w:val="32"/>
          <w:szCs w:val="32"/>
        </w:rPr>
        <w:t xml:space="preserve">      </w:t>
      </w:r>
      <w:r>
        <w:rPr>
          <w:rStyle w:val="16"/>
          <w:rFonts w:ascii="方正小标宋简体" w:eastAsia="方正小标宋简体" w:cs="Times New Roman" w:hint="default"/>
          <w:sz w:val="32"/>
          <w:szCs w:val="32"/>
        </w:rPr>
        <w:t>年度）</w:t>
      </w:r>
    </w:p>
    <w:p w14:paraId="1161C33B" w14:textId="77777777" w:rsidR="00AC1CE9" w:rsidRDefault="00AC1CE9" w:rsidP="00AC1CE9">
      <w:pPr>
        <w:rPr>
          <w:rFonts w:ascii="Times New Roman" w:eastAsia="宋体" w:hAnsi="Times New Roman" w:cs="Times New Roman"/>
          <w:szCs w:val="21"/>
        </w:rPr>
      </w:pPr>
      <w:r>
        <w:rPr>
          <w:rStyle w:val="17"/>
          <w:rFonts w:hAnsi="Times New Roman" w:hint="default"/>
        </w:rPr>
        <w:t>市（州）：</w:t>
      </w:r>
    </w:p>
    <w:tbl>
      <w:tblPr>
        <w:tblW w:w="0" w:type="auto"/>
        <w:tblLayout w:type="fixed"/>
        <w:tblLook w:val="04A0" w:firstRow="1" w:lastRow="0" w:firstColumn="1" w:lastColumn="0" w:noHBand="0" w:noVBand="1"/>
      </w:tblPr>
      <w:tblGrid>
        <w:gridCol w:w="1627"/>
        <w:gridCol w:w="1446"/>
        <w:gridCol w:w="562"/>
        <w:gridCol w:w="5847"/>
        <w:gridCol w:w="818"/>
        <w:gridCol w:w="1046"/>
        <w:gridCol w:w="3268"/>
      </w:tblGrid>
      <w:tr w:rsidR="00AC1CE9" w14:paraId="5C649B16" w14:textId="77777777" w:rsidTr="00AC1CE9">
        <w:trPr>
          <w:trHeight w:val="552"/>
        </w:trPr>
        <w:tc>
          <w:tcPr>
            <w:tcW w:w="1627" w:type="dxa"/>
            <w:tcBorders>
              <w:top w:val="single" w:sz="4" w:space="0" w:color="000000"/>
              <w:left w:val="single" w:sz="4" w:space="0" w:color="000000"/>
              <w:bottom w:val="single" w:sz="4" w:space="0" w:color="000000"/>
              <w:right w:val="single" w:sz="4" w:space="0" w:color="000000"/>
            </w:tcBorders>
            <w:vAlign w:val="center"/>
            <w:hideMark/>
          </w:tcPr>
          <w:p w14:paraId="6E8B64E7" w14:textId="77777777" w:rsidR="00AC1CE9" w:rsidRDefault="00AC1CE9">
            <w:pPr>
              <w:widowControl/>
              <w:autoSpaceDE w:val="0"/>
              <w:jc w:val="center"/>
              <w:textAlignment w:val="center"/>
              <w:rPr>
                <w:rFonts w:ascii="宋体" w:hAnsi="宋体"/>
                <w:b/>
                <w:bCs/>
                <w:sz w:val="20"/>
                <w:szCs w:val="20"/>
              </w:rPr>
            </w:pPr>
            <w:r>
              <w:rPr>
                <w:rStyle w:val="15"/>
                <w:rFonts w:ascii="宋体" w:eastAsia="宋体" w:hint="default"/>
              </w:rPr>
              <w:t>一级指标（分值）</w:t>
            </w:r>
          </w:p>
        </w:tc>
        <w:tc>
          <w:tcPr>
            <w:tcW w:w="1446" w:type="dxa"/>
            <w:tcBorders>
              <w:top w:val="single" w:sz="4" w:space="0" w:color="000000"/>
              <w:left w:val="nil"/>
              <w:bottom w:val="single" w:sz="4" w:space="0" w:color="000000"/>
              <w:right w:val="single" w:sz="4" w:space="0" w:color="000000"/>
            </w:tcBorders>
            <w:vAlign w:val="center"/>
            <w:hideMark/>
          </w:tcPr>
          <w:p w14:paraId="74AAF424" w14:textId="77777777" w:rsidR="00AC1CE9" w:rsidRDefault="00AC1CE9">
            <w:pPr>
              <w:widowControl/>
              <w:autoSpaceDE w:val="0"/>
              <w:jc w:val="center"/>
              <w:textAlignment w:val="center"/>
              <w:rPr>
                <w:rFonts w:ascii="宋体" w:hAnsi="宋体" w:hint="eastAsia"/>
                <w:b/>
                <w:bCs/>
                <w:sz w:val="20"/>
                <w:szCs w:val="20"/>
              </w:rPr>
            </w:pPr>
            <w:r>
              <w:rPr>
                <w:rStyle w:val="15"/>
                <w:rFonts w:ascii="宋体" w:eastAsia="宋体" w:hint="default"/>
              </w:rPr>
              <w:t>二级指标（分值）</w:t>
            </w:r>
          </w:p>
        </w:tc>
        <w:tc>
          <w:tcPr>
            <w:tcW w:w="562" w:type="dxa"/>
            <w:tcBorders>
              <w:top w:val="single" w:sz="4" w:space="0" w:color="000000"/>
              <w:left w:val="nil"/>
              <w:bottom w:val="single" w:sz="4" w:space="0" w:color="000000"/>
              <w:right w:val="single" w:sz="4" w:space="0" w:color="000000"/>
            </w:tcBorders>
            <w:vAlign w:val="center"/>
            <w:hideMark/>
          </w:tcPr>
          <w:p w14:paraId="5D64FD97" w14:textId="77777777" w:rsidR="00AC1CE9" w:rsidRDefault="00AC1CE9">
            <w:pPr>
              <w:widowControl/>
              <w:autoSpaceDE w:val="0"/>
              <w:jc w:val="center"/>
              <w:textAlignment w:val="center"/>
              <w:rPr>
                <w:rFonts w:ascii="宋体" w:hAnsi="宋体" w:hint="eastAsia"/>
                <w:b/>
                <w:bCs/>
                <w:sz w:val="20"/>
                <w:szCs w:val="20"/>
              </w:rPr>
            </w:pPr>
            <w:r>
              <w:rPr>
                <w:rStyle w:val="15"/>
                <w:rFonts w:ascii="宋体" w:eastAsia="宋体" w:hint="default"/>
              </w:rPr>
              <w:t>分值</w:t>
            </w:r>
          </w:p>
        </w:tc>
        <w:tc>
          <w:tcPr>
            <w:tcW w:w="5847" w:type="dxa"/>
            <w:tcBorders>
              <w:top w:val="single" w:sz="4" w:space="0" w:color="000000"/>
              <w:left w:val="nil"/>
              <w:bottom w:val="single" w:sz="4" w:space="0" w:color="000000"/>
              <w:right w:val="single" w:sz="4" w:space="0" w:color="000000"/>
            </w:tcBorders>
            <w:vAlign w:val="center"/>
            <w:hideMark/>
          </w:tcPr>
          <w:p w14:paraId="06617515" w14:textId="77777777" w:rsidR="00AC1CE9" w:rsidRDefault="00AC1CE9">
            <w:pPr>
              <w:widowControl/>
              <w:autoSpaceDE w:val="0"/>
              <w:jc w:val="center"/>
              <w:textAlignment w:val="center"/>
              <w:rPr>
                <w:rFonts w:ascii="宋体" w:hAnsi="宋体" w:hint="eastAsia"/>
                <w:b/>
                <w:bCs/>
                <w:sz w:val="20"/>
                <w:szCs w:val="20"/>
              </w:rPr>
            </w:pPr>
            <w:r>
              <w:rPr>
                <w:rStyle w:val="15"/>
                <w:rFonts w:ascii="宋体" w:eastAsia="宋体" w:hint="default"/>
              </w:rPr>
              <w:t>评分标准</w:t>
            </w:r>
          </w:p>
        </w:tc>
        <w:tc>
          <w:tcPr>
            <w:tcW w:w="818" w:type="dxa"/>
            <w:tcBorders>
              <w:top w:val="single" w:sz="4" w:space="0" w:color="000000"/>
              <w:left w:val="nil"/>
              <w:bottom w:val="single" w:sz="4" w:space="0" w:color="000000"/>
              <w:right w:val="single" w:sz="4" w:space="0" w:color="000000"/>
            </w:tcBorders>
            <w:vAlign w:val="center"/>
            <w:hideMark/>
          </w:tcPr>
          <w:p w14:paraId="63D55755" w14:textId="77777777" w:rsidR="00AC1CE9" w:rsidRDefault="00AC1CE9">
            <w:pPr>
              <w:widowControl/>
              <w:autoSpaceDE w:val="0"/>
              <w:jc w:val="center"/>
              <w:textAlignment w:val="center"/>
              <w:rPr>
                <w:rFonts w:ascii="宋体" w:hAnsi="宋体" w:hint="eastAsia"/>
                <w:b/>
                <w:bCs/>
                <w:sz w:val="20"/>
                <w:szCs w:val="20"/>
              </w:rPr>
            </w:pPr>
            <w:r>
              <w:rPr>
                <w:rStyle w:val="15"/>
                <w:rFonts w:ascii="宋体" w:eastAsia="宋体" w:hint="default"/>
              </w:rPr>
              <w:t>自评得分</w:t>
            </w:r>
          </w:p>
        </w:tc>
        <w:tc>
          <w:tcPr>
            <w:tcW w:w="1046" w:type="dxa"/>
            <w:tcBorders>
              <w:top w:val="single" w:sz="4" w:space="0" w:color="000000"/>
              <w:left w:val="nil"/>
              <w:bottom w:val="single" w:sz="4" w:space="0" w:color="000000"/>
              <w:right w:val="single" w:sz="4" w:space="0" w:color="000000"/>
            </w:tcBorders>
            <w:vAlign w:val="center"/>
            <w:hideMark/>
          </w:tcPr>
          <w:p w14:paraId="0A843445" w14:textId="77777777" w:rsidR="00AC1CE9" w:rsidRDefault="00AC1CE9">
            <w:pPr>
              <w:widowControl/>
              <w:autoSpaceDE w:val="0"/>
              <w:jc w:val="center"/>
              <w:textAlignment w:val="center"/>
              <w:rPr>
                <w:rStyle w:val="15"/>
                <w:rFonts w:ascii="宋体" w:eastAsia="宋体"/>
              </w:rPr>
            </w:pPr>
            <w:r>
              <w:rPr>
                <w:rStyle w:val="15"/>
                <w:rFonts w:ascii="宋体" w:eastAsia="宋体" w:hint="default"/>
              </w:rPr>
              <w:t>省级</w:t>
            </w:r>
          </w:p>
          <w:p w14:paraId="0CD5ED1F" w14:textId="77777777" w:rsidR="00AC1CE9" w:rsidRDefault="00AC1CE9">
            <w:pPr>
              <w:widowControl/>
              <w:autoSpaceDE w:val="0"/>
              <w:jc w:val="center"/>
              <w:textAlignment w:val="center"/>
            </w:pPr>
            <w:r>
              <w:rPr>
                <w:rStyle w:val="15"/>
                <w:rFonts w:ascii="宋体" w:eastAsia="宋体" w:hint="default"/>
              </w:rPr>
              <w:t>评分</w:t>
            </w:r>
          </w:p>
        </w:tc>
        <w:tc>
          <w:tcPr>
            <w:tcW w:w="3268" w:type="dxa"/>
            <w:tcBorders>
              <w:top w:val="single" w:sz="4" w:space="0" w:color="000000"/>
              <w:left w:val="nil"/>
              <w:bottom w:val="single" w:sz="4" w:space="0" w:color="000000"/>
              <w:right w:val="single" w:sz="4" w:space="0" w:color="000000"/>
            </w:tcBorders>
            <w:vAlign w:val="center"/>
            <w:hideMark/>
          </w:tcPr>
          <w:p w14:paraId="05F67EA1" w14:textId="77777777" w:rsidR="00AC1CE9" w:rsidRDefault="00AC1CE9">
            <w:pPr>
              <w:widowControl/>
              <w:autoSpaceDE w:val="0"/>
              <w:jc w:val="center"/>
              <w:textAlignment w:val="center"/>
              <w:rPr>
                <w:rFonts w:ascii="宋体" w:hAnsi="宋体" w:hint="eastAsia"/>
                <w:b/>
                <w:bCs/>
                <w:sz w:val="20"/>
                <w:szCs w:val="20"/>
              </w:rPr>
            </w:pPr>
            <w:r>
              <w:rPr>
                <w:rStyle w:val="15"/>
                <w:rFonts w:ascii="宋体" w:eastAsia="宋体" w:hint="default"/>
              </w:rPr>
              <w:t>打分依据</w:t>
            </w:r>
          </w:p>
        </w:tc>
      </w:tr>
      <w:tr w:rsidR="00AC1CE9" w14:paraId="488877CE" w14:textId="77777777" w:rsidTr="00AC1CE9">
        <w:trPr>
          <w:trHeight w:val="960"/>
        </w:trPr>
        <w:tc>
          <w:tcPr>
            <w:tcW w:w="1627" w:type="dxa"/>
            <w:vMerge w:val="restart"/>
            <w:tcBorders>
              <w:top w:val="nil"/>
              <w:left w:val="single" w:sz="4" w:space="0" w:color="000000"/>
              <w:bottom w:val="nil"/>
              <w:right w:val="single" w:sz="4" w:space="0" w:color="000000"/>
            </w:tcBorders>
            <w:vAlign w:val="center"/>
            <w:hideMark/>
          </w:tcPr>
          <w:p w14:paraId="1A9E8877"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方案编制</w:t>
            </w:r>
            <w:r w:rsidRPr="00AC1CE9">
              <w:rPr>
                <w:rFonts w:ascii="宋体" w:eastAsia="宋体" w:hAnsi="宋体" w:hint="eastAsia"/>
                <w:kern w:val="0"/>
                <w:sz w:val="20"/>
                <w:szCs w:val="20"/>
              </w:rPr>
              <w:br/>
              <w:t>（15分）</w:t>
            </w:r>
          </w:p>
        </w:tc>
        <w:tc>
          <w:tcPr>
            <w:tcW w:w="1446" w:type="dxa"/>
            <w:tcBorders>
              <w:top w:val="single" w:sz="4" w:space="0" w:color="000000"/>
              <w:left w:val="nil"/>
              <w:bottom w:val="single" w:sz="4" w:space="0" w:color="000000"/>
              <w:right w:val="single" w:sz="4" w:space="0" w:color="000000"/>
            </w:tcBorders>
            <w:vAlign w:val="center"/>
            <w:hideMark/>
          </w:tcPr>
          <w:p w14:paraId="4EE5FF2B"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目标制定</w:t>
            </w:r>
          </w:p>
        </w:tc>
        <w:tc>
          <w:tcPr>
            <w:tcW w:w="562" w:type="dxa"/>
            <w:tcBorders>
              <w:top w:val="single" w:sz="4" w:space="0" w:color="000000"/>
              <w:left w:val="nil"/>
              <w:bottom w:val="single" w:sz="4" w:space="0" w:color="000000"/>
              <w:right w:val="single" w:sz="4" w:space="0" w:color="000000"/>
            </w:tcBorders>
            <w:vAlign w:val="center"/>
            <w:hideMark/>
          </w:tcPr>
          <w:p w14:paraId="687AE877"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8</w:t>
            </w:r>
          </w:p>
        </w:tc>
        <w:tc>
          <w:tcPr>
            <w:tcW w:w="5847" w:type="dxa"/>
            <w:tcBorders>
              <w:top w:val="single" w:sz="4" w:space="0" w:color="000000"/>
              <w:left w:val="nil"/>
              <w:bottom w:val="single" w:sz="4" w:space="0" w:color="000000"/>
              <w:right w:val="single" w:sz="4" w:space="0" w:color="000000"/>
            </w:tcBorders>
            <w:vAlign w:val="center"/>
            <w:hideMark/>
          </w:tcPr>
          <w:p w14:paraId="4E3500E2"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①方案目标明确，纳入修复矿山未在负面清单范围内，方案合理可行，组织保障较好（3分）；②目标是否突出重点区域，是否落实本级生态修复规划（3分）。③历史遗留矿山相关证明材料、修复范围等附件齐全。（2分）</w:t>
            </w:r>
          </w:p>
        </w:tc>
        <w:tc>
          <w:tcPr>
            <w:tcW w:w="818" w:type="dxa"/>
            <w:tcBorders>
              <w:top w:val="single" w:sz="4" w:space="0" w:color="000000"/>
              <w:left w:val="nil"/>
              <w:bottom w:val="single" w:sz="4" w:space="0" w:color="000000"/>
              <w:right w:val="single" w:sz="4" w:space="0" w:color="000000"/>
            </w:tcBorders>
            <w:vAlign w:val="center"/>
          </w:tcPr>
          <w:p w14:paraId="626FCE44"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764903AE"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6A1F2983" w14:textId="77777777" w:rsidR="00AC1CE9" w:rsidRDefault="00AC1CE9">
            <w:pPr>
              <w:widowControl/>
              <w:autoSpaceDE w:val="0"/>
              <w:jc w:val="center"/>
              <w:rPr>
                <w:rFonts w:ascii="宋体" w:hAnsi="宋体" w:hint="eastAsia"/>
                <w:sz w:val="20"/>
                <w:szCs w:val="20"/>
              </w:rPr>
            </w:pPr>
          </w:p>
        </w:tc>
      </w:tr>
      <w:tr w:rsidR="00AC1CE9" w14:paraId="29EE9ABB" w14:textId="77777777" w:rsidTr="00AC1CE9">
        <w:trPr>
          <w:trHeight w:val="860"/>
        </w:trPr>
        <w:tc>
          <w:tcPr>
            <w:tcW w:w="1627" w:type="dxa"/>
            <w:vMerge/>
            <w:tcBorders>
              <w:top w:val="nil"/>
              <w:left w:val="single" w:sz="4" w:space="0" w:color="000000"/>
              <w:bottom w:val="nil"/>
              <w:right w:val="single" w:sz="4" w:space="0" w:color="000000"/>
            </w:tcBorders>
            <w:vAlign w:val="center"/>
            <w:hideMark/>
          </w:tcPr>
          <w:p w14:paraId="36690549"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75FC8720"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方案备案</w:t>
            </w:r>
          </w:p>
        </w:tc>
        <w:tc>
          <w:tcPr>
            <w:tcW w:w="562" w:type="dxa"/>
            <w:tcBorders>
              <w:top w:val="single" w:sz="4" w:space="0" w:color="000000"/>
              <w:left w:val="nil"/>
              <w:bottom w:val="single" w:sz="4" w:space="0" w:color="000000"/>
              <w:right w:val="single" w:sz="4" w:space="0" w:color="000000"/>
            </w:tcBorders>
            <w:vAlign w:val="center"/>
            <w:hideMark/>
          </w:tcPr>
          <w:p w14:paraId="73D8CD02"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2</w:t>
            </w:r>
          </w:p>
        </w:tc>
        <w:tc>
          <w:tcPr>
            <w:tcW w:w="5847" w:type="dxa"/>
            <w:tcBorders>
              <w:top w:val="single" w:sz="4" w:space="0" w:color="000000"/>
              <w:left w:val="nil"/>
              <w:bottom w:val="single" w:sz="4" w:space="0" w:color="000000"/>
              <w:right w:val="single" w:sz="4" w:space="0" w:color="000000"/>
            </w:tcBorders>
            <w:vAlign w:val="center"/>
            <w:hideMark/>
          </w:tcPr>
          <w:p w14:paraId="5F3DC5A1"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①是否按时编制完成实施方案并提交备案。在规定时间内完成并提交备案的得2分，超规定时间1月内提交得1分，其它不得分。</w:t>
            </w:r>
          </w:p>
        </w:tc>
        <w:tc>
          <w:tcPr>
            <w:tcW w:w="818" w:type="dxa"/>
            <w:tcBorders>
              <w:top w:val="single" w:sz="4" w:space="0" w:color="000000"/>
              <w:left w:val="nil"/>
              <w:bottom w:val="single" w:sz="4" w:space="0" w:color="000000"/>
              <w:right w:val="single" w:sz="4" w:space="0" w:color="000000"/>
            </w:tcBorders>
            <w:vAlign w:val="center"/>
          </w:tcPr>
          <w:p w14:paraId="5FD38DB9"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51F0E30C"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21433255" w14:textId="77777777" w:rsidR="00AC1CE9" w:rsidRDefault="00AC1CE9">
            <w:pPr>
              <w:widowControl/>
              <w:autoSpaceDE w:val="0"/>
              <w:jc w:val="center"/>
              <w:rPr>
                <w:rFonts w:ascii="宋体" w:hAnsi="宋体" w:hint="eastAsia"/>
                <w:sz w:val="20"/>
                <w:szCs w:val="20"/>
              </w:rPr>
            </w:pPr>
          </w:p>
        </w:tc>
      </w:tr>
      <w:tr w:rsidR="00AC1CE9" w14:paraId="18DB1EAD" w14:textId="77777777" w:rsidTr="00AC1CE9">
        <w:trPr>
          <w:trHeight w:val="860"/>
        </w:trPr>
        <w:tc>
          <w:tcPr>
            <w:tcW w:w="1627" w:type="dxa"/>
            <w:vMerge/>
            <w:tcBorders>
              <w:top w:val="nil"/>
              <w:left w:val="single" w:sz="4" w:space="0" w:color="000000"/>
              <w:bottom w:val="nil"/>
              <w:right w:val="single" w:sz="4" w:space="0" w:color="000000"/>
            </w:tcBorders>
            <w:vAlign w:val="center"/>
            <w:hideMark/>
          </w:tcPr>
          <w:p w14:paraId="41B2C616"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0265FEC8" w14:textId="77777777" w:rsidR="00AC1CE9" w:rsidRPr="00AC1CE9" w:rsidRDefault="00AC1CE9">
            <w:pPr>
              <w:widowControl/>
              <w:autoSpaceDE w:val="0"/>
              <w:jc w:val="center"/>
              <w:textAlignment w:val="center"/>
              <w:rPr>
                <w:rFonts w:ascii="宋体" w:eastAsia="宋体" w:hAnsi="宋体" w:hint="eastAsia"/>
                <w:kern w:val="0"/>
                <w:sz w:val="20"/>
                <w:szCs w:val="20"/>
              </w:rPr>
            </w:pPr>
            <w:r w:rsidRPr="00AC1CE9">
              <w:rPr>
                <w:rFonts w:ascii="宋体" w:eastAsia="宋体" w:hAnsi="宋体" w:hint="eastAsia"/>
                <w:kern w:val="0"/>
                <w:sz w:val="20"/>
                <w:szCs w:val="20"/>
              </w:rPr>
              <w:t>体制机制创新</w:t>
            </w:r>
          </w:p>
        </w:tc>
        <w:tc>
          <w:tcPr>
            <w:tcW w:w="562" w:type="dxa"/>
            <w:tcBorders>
              <w:top w:val="single" w:sz="4" w:space="0" w:color="000000"/>
              <w:left w:val="nil"/>
              <w:bottom w:val="single" w:sz="4" w:space="0" w:color="000000"/>
              <w:right w:val="single" w:sz="4" w:space="0" w:color="000000"/>
            </w:tcBorders>
            <w:vAlign w:val="center"/>
            <w:hideMark/>
          </w:tcPr>
          <w:p w14:paraId="1DEBE865" w14:textId="77777777" w:rsidR="00AC1CE9" w:rsidRPr="00AC1CE9" w:rsidRDefault="00AC1CE9">
            <w:pPr>
              <w:widowControl/>
              <w:autoSpaceDE w:val="0"/>
              <w:jc w:val="center"/>
              <w:textAlignment w:val="center"/>
              <w:rPr>
                <w:rFonts w:ascii="宋体" w:eastAsia="宋体" w:hAnsi="宋体" w:hint="eastAsia"/>
                <w:kern w:val="0"/>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vAlign w:val="center"/>
            <w:hideMark/>
          </w:tcPr>
          <w:p w14:paraId="7E3F24D6"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①反映矿山生态修复体制机制创新情况。已编制印发矿山生态修复项目、资金管理办法的每项得1分，否则不得分。有其他创新材料或形成年度工作创新亮点特色总结报告得3分，否则不得分。</w:t>
            </w:r>
          </w:p>
        </w:tc>
        <w:tc>
          <w:tcPr>
            <w:tcW w:w="818" w:type="dxa"/>
            <w:tcBorders>
              <w:top w:val="single" w:sz="4" w:space="0" w:color="000000"/>
              <w:left w:val="nil"/>
              <w:bottom w:val="single" w:sz="4" w:space="0" w:color="000000"/>
              <w:right w:val="single" w:sz="4" w:space="0" w:color="000000"/>
            </w:tcBorders>
            <w:vAlign w:val="center"/>
          </w:tcPr>
          <w:p w14:paraId="577514C9"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41AB445A"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626A08A9" w14:textId="77777777" w:rsidR="00AC1CE9" w:rsidRDefault="00AC1CE9">
            <w:pPr>
              <w:widowControl/>
              <w:autoSpaceDE w:val="0"/>
              <w:jc w:val="center"/>
              <w:rPr>
                <w:rFonts w:ascii="宋体" w:hAnsi="宋体" w:hint="eastAsia"/>
                <w:sz w:val="20"/>
                <w:szCs w:val="20"/>
              </w:rPr>
            </w:pPr>
          </w:p>
        </w:tc>
      </w:tr>
      <w:tr w:rsidR="00AC1CE9" w14:paraId="043EDF28" w14:textId="77777777" w:rsidTr="00AC1CE9">
        <w:trPr>
          <w:trHeight w:val="1680"/>
        </w:trPr>
        <w:tc>
          <w:tcPr>
            <w:tcW w:w="1627" w:type="dxa"/>
            <w:tcBorders>
              <w:top w:val="single" w:sz="4" w:space="0" w:color="000000"/>
              <w:left w:val="single" w:sz="4" w:space="0" w:color="000000"/>
              <w:bottom w:val="single" w:sz="4" w:space="0" w:color="000000"/>
              <w:right w:val="single" w:sz="4" w:space="0" w:color="000000"/>
            </w:tcBorders>
            <w:vAlign w:val="center"/>
            <w:hideMark/>
          </w:tcPr>
          <w:p w14:paraId="2934A02D" w14:textId="77777777" w:rsidR="00AC1CE9" w:rsidRPr="00AC1CE9" w:rsidRDefault="00AC1CE9">
            <w:pPr>
              <w:widowControl/>
              <w:autoSpaceDE w:val="0"/>
              <w:jc w:val="center"/>
              <w:textAlignment w:val="center"/>
              <w:rPr>
                <w:rFonts w:ascii="宋体" w:eastAsia="宋体" w:hAnsi="宋体" w:hint="eastAsia"/>
                <w:kern w:val="0"/>
                <w:sz w:val="20"/>
                <w:szCs w:val="20"/>
              </w:rPr>
            </w:pPr>
            <w:r w:rsidRPr="00AC1CE9">
              <w:rPr>
                <w:rFonts w:ascii="宋体" w:eastAsia="宋体" w:hAnsi="宋体" w:hint="eastAsia"/>
                <w:kern w:val="0"/>
                <w:sz w:val="20"/>
                <w:szCs w:val="20"/>
              </w:rPr>
              <w:t>资金执行</w:t>
            </w:r>
          </w:p>
          <w:p w14:paraId="62F1A334"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（30分）</w:t>
            </w:r>
          </w:p>
        </w:tc>
        <w:tc>
          <w:tcPr>
            <w:tcW w:w="1446" w:type="dxa"/>
            <w:tcBorders>
              <w:top w:val="single" w:sz="4" w:space="0" w:color="000000"/>
              <w:left w:val="nil"/>
              <w:bottom w:val="single" w:sz="4" w:space="0" w:color="000000"/>
              <w:right w:val="single" w:sz="4" w:space="0" w:color="000000"/>
            </w:tcBorders>
            <w:vAlign w:val="center"/>
            <w:hideMark/>
          </w:tcPr>
          <w:p w14:paraId="6B0EFF51"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执行进度</w:t>
            </w:r>
          </w:p>
        </w:tc>
        <w:tc>
          <w:tcPr>
            <w:tcW w:w="562" w:type="dxa"/>
            <w:tcBorders>
              <w:top w:val="single" w:sz="4" w:space="0" w:color="000000"/>
              <w:left w:val="nil"/>
              <w:bottom w:val="single" w:sz="4" w:space="0" w:color="000000"/>
              <w:right w:val="single" w:sz="4" w:space="0" w:color="000000"/>
            </w:tcBorders>
            <w:vAlign w:val="center"/>
            <w:hideMark/>
          </w:tcPr>
          <w:p w14:paraId="3965C92D"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30</w:t>
            </w:r>
          </w:p>
        </w:tc>
        <w:tc>
          <w:tcPr>
            <w:tcW w:w="5847" w:type="dxa"/>
            <w:tcBorders>
              <w:top w:val="single" w:sz="4" w:space="0" w:color="000000"/>
              <w:left w:val="nil"/>
              <w:bottom w:val="single" w:sz="4" w:space="0" w:color="000000"/>
              <w:right w:val="single" w:sz="4" w:space="0" w:color="000000"/>
            </w:tcBorders>
            <w:vAlign w:val="center"/>
            <w:hideMark/>
          </w:tcPr>
          <w:p w14:paraId="10E39BD7" w14:textId="77777777" w:rsidR="00AC1CE9" w:rsidRPr="00AC1CE9" w:rsidRDefault="00AC1CE9" w:rsidP="00AC1CE9">
            <w:pPr>
              <w:widowControl/>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①统计范围为本年度及上年度省级下达的重点生态保护修复治理资金，执行进度以自然资源资金监测监管系统数据为准；</w:t>
            </w:r>
            <w:r w:rsidRPr="00AC1CE9">
              <w:rPr>
                <w:rFonts w:ascii="宋体" w:eastAsia="宋体" w:hAnsi="宋体" w:hint="eastAsia"/>
                <w:kern w:val="0"/>
                <w:sz w:val="20"/>
                <w:szCs w:val="20"/>
              </w:rPr>
              <w:br/>
              <w:t>②下达时间在半年以上一年以内的资金，资金执行大于50%得30分，50%到45%(不含50%)得27分,45%到40%(不含45%)得24分,40%到35%(不含40%)得21分,35%到30%(不含35%)得18分,30%到25%(不含30%)得15分,25%到20%(不含25%)得12分,20%到15%(不含20%)得9分,15%到10%(不含15%)得6分,10%到5%(不含10%)得3分,5%以下(不含5%)不得分；</w:t>
            </w:r>
          </w:p>
          <w:p w14:paraId="06DE4E71" w14:textId="77777777" w:rsidR="00AC1CE9" w:rsidRPr="00AC1CE9" w:rsidRDefault="00AC1CE9" w:rsidP="00AC1CE9">
            <w:pPr>
              <w:widowControl/>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③下达时间在一年以上的资金，资金执行大于80%得30分，80%到75%(不含80%)得27分,75%到70%(不含75%)得24分,70%到65%(不含70%)得21分,65%到60%(不含65%)得18分,60%到55%(不含60%)得15分,55%到50%(不含55%)得12分,50%到45%(不含50%)得9分,45%到40%(不含45%)得6分,40%到35%(不含40%)得3分,35%以下(不含35%)不得分；</w:t>
            </w:r>
          </w:p>
          <w:p w14:paraId="1973F588" w14:textId="77777777" w:rsidR="00AC1CE9" w:rsidRPr="00AC1CE9" w:rsidRDefault="00AC1CE9" w:rsidP="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④各时间段下达资金分值按资金占比计算。</w:t>
            </w:r>
          </w:p>
        </w:tc>
        <w:tc>
          <w:tcPr>
            <w:tcW w:w="818" w:type="dxa"/>
            <w:tcBorders>
              <w:top w:val="single" w:sz="4" w:space="0" w:color="000000"/>
              <w:left w:val="nil"/>
              <w:bottom w:val="single" w:sz="4" w:space="0" w:color="000000"/>
              <w:right w:val="single" w:sz="4" w:space="0" w:color="000000"/>
            </w:tcBorders>
            <w:vAlign w:val="center"/>
          </w:tcPr>
          <w:p w14:paraId="109F29E4"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4516CE3E"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16F30621" w14:textId="77777777" w:rsidR="00AC1CE9" w:rsidRDefault="00AC1CE9">
            <w:pPr>
              <w:widowControl/>
              <w:autoSpaceDE w:val="0"/>
              <w:jc w:val="center"/>
              <w:rPr>
                <w:rFonts w:ascii="宋体" w:hAnsi="宋体" w:hint="eastAsia"/>
                <w:sz w:val="20"/>
                <w:szCs w:val="20"/>
              </w:rPr>
            </w:pPr>
          </w:p>
        </w:tc>
      </w:tr>
      <w:tr w:rsidR="00AC1CE9" w14:paraId="2A613560" w14:textId="77777777" w:rsidTr="00AC1CE9">
        <w:trPr>
          <w:trHeight w:val="960"/>
        </w:trPr>
        <w:tc>
          <w:tcPr>
            <w:tcW w:w="1627" w:type="dxa"/>
            <w:vMerge w:val="restart"/>
            <w:tcBorders>
              <w:top w:val="nil"/>
              <w:left w:val="single" w:sz="4" w:space="0" w:color="000000"/>
              <w:bottom w:val="single" w:sz="4" w:space="0" w:color="000000"/>
              <w:right w:val="single" w:sz="4" w:space="0" w:color="000000"/>
            </w:tcBorders>
            <w:vAlign w:val="center"/>
            <w:hideMark/>
          </w:tcPr>
          <w:p w14:paraId="7B03B9B9"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lastRenderedPageBreak/>
              <w:t>项目进度</w:t>
            </w:r>
            <w:r w:rsidRPr="00AC1CE9">
              <w:rPr>
                <w:rFonts w:ascii="宋体" w:eastAsia="宋体" w:hAnsi="宋体" w:hint="eastAsia"/>
                <w:kern w:val="0"/>
                <w:sz w:val="20"/>
                <w:szCs w:val="20"/>
              </w:rPr>
              <w:br/>
              <w:t>（30分）</w:t>
            </w:r>
          </w:p>
        </w:tc>
        <w:tc>
          <w:tcPr>
            <w:tcW w:w="1446" w:type="dxa"/>
            <w:tcBorders>
              <w:top w:val="single" w:sz="4" w:space="0" w:color="000000"/>
              <w:left w:val="nil"/>
              <w:bottom w:val="single" w:sz="4" w:space="0" w:color="000000"/>
              <w:right w:val="single" w:sz="4" w:space="0" w:color="000000"/>
            </w:tcBorders>
            <w:vAlign w:val="center"/>
            <w:hideMark/>
          </w:tcPr>
          <w:p w14:paraId="58F8F740"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调查设计</w:t>
            </w:r>
          </w:p>
        </w:tc>
        <w:tc>
          <w:tcPr>
            <w:tcW w:w="562" w:type="dxa"/>
            <w:tcBorders>
              <w:top w:val="single" w:sz="4" w:space="0" w:color="000000"/>
              <w:left w:val="nil"/>
              <w:bottom w:val="single" w:sz="4" w:space="0" w:color="000000"/>
              <w:right w:val="single" w:sz="4" w:space="0" w:color="000000"/>
            </w:tcBorders>
            <w:vAlign w:val="center"/>
            <w:hideMark/>
          </w:tcPr>
          <w:p w14:paraId="623234A1"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vAlign w:val="center"/>
            <w:hideMark/>
          </w:tcPr>
          <w:p w14:paraId="3B19F149"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①依据现状调查确定修复面积、消除地质安全隐患、边坡修复、恢复植被或复垦耕地或综合利用等数量指标（3分），绩效目标完整得3分，不完整每少一项扣1分；</w:t>
            </w:r>
            <w:r w:rsidRPr="00AC1CE9">
              <w:rPr>
                <w:rFonts w:ascii="宋体" w:eastAsia="宋体" w:hAnsi="宋体" w:hint="eastAsia"/>
                <w:kern w:val="0"/>
                <w:sz w:val="20"/>
                <w:szCs w:val="20"/>
              </w:rPr>
              <w:br/>
              <w:t>②参照周边生态环境合理确定自然恢复、辅助再生、生态重塑等修复措施，消除安全隐患，防止水土流失，提升土地利用价值（2分），设计合理得2分，不合理不得分。</w:t>
            </w:r>
          </w:p>
        </w:tc>
        <w:tc>
          <w:tcPr>
            <w:tcW w:w="818" w:type="dxa"/>
            <w:tcBorders>
              <w:top w:val="single" w:sz="4" w:space="0" w:color="000000"/>
              <w:left w:val="nil"/>
              <w:bottom w:val="single" w:sz="4" w:space="0" w:color="000000"/>
              <w:right w:val="single" w:sz="4" w:space="0" w:color="000000"/>
            </w:tcBorders>
            <w:vAlign w:val="center"/>
          </w:tcPr>
          <w:p w14:paraId="6D4A4D77"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568AC72A"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250776B1" w14:textId="77777777" w:rsidR="00AC1CE9" w:rsidRDefault="00AC1CE9">
            <w:pPr>
              <w:widowControl/>
              <w:autoSpaceDE w:val="0"/>
              <w:jc w:val="center"/>
              <w:rPr>
                <w:rFonts w:ascii="宋体" w:hAnsi="宋体" w:hint="eastAsia"/>
                <w:sz w:val="20"/>
                <w:szCs w:val="20"/>
              </w:rPr>
            </w:pPr>
          </w:p>
        </w:tc>
      </w:tr>
      <w:tr w:rsidR="00AC1CE9" w14:paraId="75B032B7" w14:textId="77777777" w:rsidTr="00AC1CE9">
        <w:trPr>
          <w:trHeight w:val="960"/>
        </w:trPr>
        <w:tc>
          <w:tcPr>
            <w:tcW w:w="1627" w:type="dxa"/>
            <w:vMerge/>
            <w:tcBorders>
              <w:top w:val="nil"/>
              <w:left w:val="single" w:sz="4" w:space="0" w:color="000000"/>
              <w:bottom w:val="single" w:sz="4" w:space="0" w:color="000000"/>
              <w:right w:val="single" w:sz="4" w:space="0" w:color="000000"/>
            </w:tcBorders>
            <w:vAlign w:val="center"/>
            <w:hideMark/>
          </w:tcPr>
          <w:p w14:paraId="6E496BE1"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11BC85EF"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修复工程</w:t>
            </w:r>
          </w:p>
        </w:tc>
        <w:tc>
          <w:tcPr>
            <w:tcW w:w="562" w:type="dxa"/>
            <w:tcBorders>
              <w:top w:val="single" w:sz="4" w:space="0" w:color="000000"/>
              <w:left w:val="nil"/>
              <w:bottom w:val="single" w:sz="4" w:space="0" w:color="000000"/>
              <w:right w:val="single" w:sz="4" w:space="0" w:color="000000"/>
            </w:tcBorders>
            <w:vAlign w:val="center"/>
            <w:hideMark/>
          </w:tcPr>
          <w:p w14:paraId="086AEA95"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20</w:t>
            </w:r>
          </w:p>
        </w:tc>
        <w:tc>
          <w:tcPr>
            <w:tcW w:w="5847" w:type="dxa"/>
            <w:tcBorders>
              <w:top w:val="single" w:sz="4" w:space="0" w:color="000000"/>
              <w:left w:val="nil"/>
              <w:bottom w:val="single" w:sz="4" w:space="0" w:color="000000"/>
              <w:right w:val="single" w:sz="4" w:space="0" w:color="000000"/>
            </w:tcBorders>
            <w:vAlign w:val="center"/>
            <w:hideMark/>
          </w:tcPr>
          <w:p w14:paraId="08B617EB"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①</w:t>
            </w:r>
            <w:r w:rsidRPr="00AC1CE9">
              <w:rPr>
                <w:rFonts w:ascii="宋体" w:eastAsia="宋体" w:hAnsi="宋体" w:cs="仿宋_GB2312" w:hint="eastAsia"/>
                <w:kern w:val="0"/>
                <w:sz w:val="20"/>
                <w:szCs w:val="20"/>
              </w:rPr>
              <w:t>修复工程</w:t>
            </w:r>
            <w:r w:rsidRPr="00AC1CE9">
              <w:rPr>
                <w:rFonts w:ascii="宋体" w:eastAsia="宋体" w:hAnsi="宋体" w:hint="eastAsia"/>
                <w:kern w:val="0"/>
                <w:sz w:val="20"/>
                <w:szCs w:val="20"/>
              </w:rPr>
              <w:t>工作任务完成量≥60%得20分，60%到50%(不含60%)得16分,50%到40%(不含50%)得12分,40%到30%(不含40%)得8分,30%到20%(不含30%)得4分，20%(不含20%)以下不得分；</w:t>
            </w:r>
            <w:r w:rsidRPr="00AC1CE9">
              <w:rPr>
                <w:rFonts w:ascii="宋体" w:eastAsia="宋体" w:hAnsi="宋体" w:hint="eastAsia"/>
                <w:kern w:val="0"/>
                <w:sz w:val="20"/>
                <w:szCs w:val="20"/>
              </w:rPr>
              <w:br/>
              <w:t>②按照时间节点完成施工招标得40%，完成施工得90%，完成验收得100%的标准综合计算。</w:t>
            </w:r>
          </w:p>
        </w:tc>
        <w:tc>
          <w:tcPr>
            <w:tcW w:w="818" w:type="dxa"/>
            <w:tcBorders>
              <w:top w:val="single" w:sz="4" w:space="0" w:color="000000"/>
              <w:left w:val="nil"/>
              <w:bottom w:val="single" w:sz="4" w:space="0" w:color="000000"/>
              <w:right w:val="single" w:sz="4" w:space="0" w:color="000000"/>
            </w:tcBorders>
            <w:vAlign w:val="center"/>
          </w:tcPr>
          <w:p w14:paraId="4CC05847"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0A0787B1"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5DED5A5B" w14:textId="77777777" w:rsidR="00AC1CE9" w:rsidRDefault="00AC1CE9">
            <w:pPr>
              <w:widowControl/>
              <w:autoSpaceDE w:val="0"/>
              <w:jc w:val="center"/>
              <w:rPr>
                <w:rFonts w:ascii="宋体" w:hAnsi="宋体" w:hint="eastAsia"/>
                <w:sz w:val="20"/>
                <w:szCs w:val="20"/>
              </w:rPr>
            </w:pPr>
          </w:p>
        </w:tc>
      </w:tr>
      <w:tr w:rsidR="00AC1CE9" w14:paraId="0A4A4680" w14:textId="77777777" w:rsidTr="00AC1CE9">
        <w:trPr>
          <w:trHeight w:val="480"/>
        </w:trPr>
        <w:tc>
          <w:tcPr>
            <w:tcW w:w="1627" w:type="dxa"/>
            <w:vMerge/>
            <w:tcBorders>
              <w:top w:val="nil"/>
              <w:left w:val="single" w:sz="4" w:space="0" w:color="000000"/>
              <w:bottom w:val="single" w:sz="4" w:space="0" w:color="000000"/>
              <w:right w:val="single" w:sz="4" w:space="0" w:color="000000"/>
            </w:tcBorders>
            <w:vAlign w:val="center"/>
            <w:hideMark/>
          </w:tcPr>
          <w:p w14:paraId="039698A3"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436A45F5"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管护工程</w:t>
            </w:r>
          </w:p>
        </w:tc>
        <w:tc>
          <w:tcPr>
            <w:tcW w:w="562" w:type="dxa"/>
            <w:tcBorders>
              <w:top w:val="single" w:sz="4" w:space="0" w:color="000000"/>
              <w:left w:val="nil"/>
              <w:bottom w:val="single" w:sz="4" w:space="0" w:color="000000"/>
              <w:right w:val="single" w:sz="4" w:space="0" w:color="000000"/>
            </w:tcBorders>
            <w:vAlign w:val="center"/>
            <w:hideMark/>
          </w:tcPr>
          <w:p w14:paraId="5F0AB04D"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vAlign w:val="center"/>
            <w:hideMark/>
          </w:tcPr>
          <w:p w14:paraId="381A742E"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①工程完工后按照合同进行管护，成活率≥85%得2分；</w:t>
            </w:r>
          </w:p>
          <w:p w14:paraId="69E7EC5D"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②移交当地政府，有相关移交手续得1分；</w:t>
            </w:r>
          </w:p>
          <w:p w14:paraId="01639BF5"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③恢复植被或复垦耕地或综合利用后未返荒或撂荒得2分。</w:t>
            </w:r>
          </w:p>
        </w:tc>
        <w:tc>
          <w:tcPr>
            <w:tcW w:w="818" w:type="dxa"/>
            <w:tcBorders>
              <w:top w:val="single" w:sz="4" w:space="0" w:color="000000"/>
              <w:left w:val="nil"/>
              <w:bottom w:val="single" w:sz="4" w:space="0" w:color="000000"/>
              <w:right w:val="single" w:sz="4" w:space="0" w:color="000000"/>
            </w:tcBorders>
            <w:vAlign w:val="center"/>
          </w:tcPr>
          <w:p w14:paraId="6562B641"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16F6DAEC"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17393F9E" w14:textId="77777777" w:rsidR="00AC1CE9" w:rsidRDefault="00AC1CE9">
            <w:pPr>
              <w:widowControl/>
              <w:autoSpaceDE w:val="0"/>
              <w:jc w:val="center"/>
              <w:rPr>
                <w:rFonts w:ascii="宋体" w:hAnsi="宋体" w:hint="eastAsia"/>
                <w:sz w:val="20"/>
                <w:szCs w:val="20"/>
              </w:rPr>
            </w:pPr>
          </w:p>
        </w:tc>
      </w:tr>
      <w:tr w:rsidR="00AC1CE9" w14:paraId="24307FA1" w14:textId="77777777" w:rsidTr="00AC1CE9">
        <w:trPr>
          <w:trHeight w:val="577"/>
        </w:trPr>
        <w:tc>
          <w:tcPr>
            <w:tcW w:w="1627" w:type="dxa"/>
            <w:vMerge w:val="restart"/>
            <w:tcBorders>
              <w:top w:val="nil"/>
              <w:left w:val="single" w:sz="4" w:space="0" w:color="000000"/>
              <w:bottom w:val="single" w:sz="4" w:space="0" w:color="000000"/>
              <w:right w:val="single" w:sz="4" w:space="0" w:color="000000"/>
            </w:tcBorders>
            <w:vAlign w:val="center"/>
            <w:hideMark/>
          </w:tcPr>
          <w:p w14:paraId="5E7F5585"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效益评价（25分）</w:t>
            </w:r>
          </w:p>
        </w:tc>
        <w:tc>
          <w:tcPr>
            <w:tcW w:w="1446" w:type="dxa"/>
            <w:tcBorders>
              <w:top w:val="single" w:sz="4" w:space="0" w:color="000000"/>
              <w:left w:val="nil"/>
              <w:bottom w:val="single" w:sz="4" w:space="0" w:color="000000"/>
              <w:right w:val="single" w:sz="4" w:space="0" w:color="000000"/>
            </w:tcBorders>
            <w:vAlign w:val="center"/>
            <w:hideMark/>
          </w:tcPr>
          <w:p w14:paraId="5600B1EC"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生态效益</w:t>
            </w:r>
          </w:p>
        </w:tc>
        <w:tc>
          <w:tcPr>
            <w:tcW w:w="562" w:type="dxa"/>
            <w:tcBorders>
              <w:top w:val="single" w:sz="4" w:space="0" w:color="000000"/>
              <w:left w:val="nil"/>
              <w:bottom w:val="single" w:sz="4" w:space="0" w:color="000000"/>
              <w:right w:val="single" w:sz="4" w:space="0" w:color="000000"/>
            </w:tcBorders>
            <w:vAlign w:val="center"/>
            <w:hideMark/>
          </w:tcPr>
          <w:p w14:paraId="73B68612"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10</w:t>
            </w:r>
          </w:p>
        </w:tc>
        <w:tc>
          <w:tcPr>
            <w:tcW w:w="5847" w:type="dxa"/>
            <w:tcBorders>
              <w:top w:val="single" w:sz="4" w:space="0" w:color="000000"/>
              <w:left w:val="nil"/>
              <w:bottom w:val="single" w:sz="4" w:space="0" w:color="000000"/>
              <w:right w:val="single" w:sz="4" w:space="0" w:color="000000"/>
            </w:tcBorders>
            <w:vAlign w:val="center"/>
            <w:hideMark/>
          </w:tcPr>
          <w:p w14:paraId="3C424A7D"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①植被盖度达到70%以上得5分；</w:t>
            </w:r>
            <w:r w:rsidRPr="00AC1CE9">
              <w:rPr>
                <w:rFonts w:ascii="宋体" w:eastAsia="宋体" w:hAnsi="宋体" w:hint="eastAsia"/>
                <w:kern w:val="0"/>
                <w:sz w:val="20"/>
                <w:szCs w:val="20"/>
              </w:rPr>
              <w:br/>
              <w:t>②复垦后土地与周边生态环境协调统一得5分。</w:t>
            </w:r>
          </w:p>
        </w:tc>
        <w:tc>
          <w:tcPr>
            <w:tcW w:w="818" w:type="dxa"/>
            <w:tcBorders>
              <w:top w:val="single" w:sz="4" w:space="0" w:color="000000"/>
              <w:left w:val="nil"/>
              <w:bottom w:val="single" w:sz="4" w:space="0" w:color="000000"/>
              <w:right w:val="single" w:sz="4" w:space="0" w:color="000000"/>
            </w:tcBorders>
            <w:vAlign w:val="center"/>
          </w:tcPr>
          <w:p w14:paraId="56307141"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1B75AE45"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0CAB56E0" w14:textId="77777777" w:rsidR="00AC1CE9" w:rsidRDefault="00AC1CE9">
            <w:pPr>
              <w:widowControl/>
              <w:autoSpaceDE w:val="0"/>
              <w:jc w:val="center"/>
              <w:rPr>
                <w:rFonts w:ascii="宋体" w:hAnsi="宋体" w:hint="eastAsia"/>
                <w:sz w:val="20"/>
                <w:szCs w:val="20"/>
              </w:rPr>
            </w:pPr>
          </w:p>
        </w:tc>
      </w:tr>
      <w:tr w:rsidR="00AC1CE9" w14:paraId="05E3D359" w14:textId="77777777" w:rsidTr="00AC1CE9">
        <w:trPr>
          <w:trHeight w:val="638"/>
        </w:trPr>
        <w:tc>
          <w:tcPr>
            <w:tcW w:w="1627" w:type="dxa"/>
            <w:vMerge/>
            <w:tcBorders>
              <w:top w:val="nil"/>
              <w:left w:val="single" w:sz="4" w:space="0" w:color="000000"/>
              <w:bottom w:val="single" w:sz="4" w:space="0" w:color="000000"/>
              <w:right w:val="single" w:sz="4" w:space="0" w:color="000000"/>
            </w:tcBorders>
            <w:vAlign w:val="center"/>
            <w:hideMark/>
          </w:tcPr>
          <w:p w14:paraId="739D1C6D"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6D5872BD"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经济效益</w:t>
            </w:r>
          </w:p>
        </w:tc>
        <w:tc>
          <w:tcPr>
            <w:tcW w:w="562" w:type="dxa"/>
            <w:tcBorders>
              <w:top w:val="single" w:sz="4" w:space="0" w:color="000000"/>
              <w:left w:val="nil"/>
              <w:bottom w:val="single" w:sz="4" w:space="0" w:color="000000"/>
              <w:right w:val="single" w:sz="4" w:space="0" w:color="000000"/>
            </w:tcBorders>
            <w:vAlign w:val="center"/>
            <w:hideMark/>
          </w:tcPr>
          <w:p w14:paraId="7536A149"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10</w:t>
            </w:r>
          </w:p>
        </w:tc>
        <w:tc>
          <w:tcPr>
            <w:tcW w:w="5847" w:type="dxa"/>
            <w:tcBorders>
              <w:top w:val="single" w:sz="4" w:space="0" w:color="000000"/>
              <w:left w:val="nil"/>
              <w:bottom w:val="single" w:sz="4" w:space="0" w:color="000000"/>
              <w:right w:val="single" w:sz="4" w:space="0" w:color="000000"/>
            </w:tcBorders>
            <w:vAlign w:val="center"/>
            <w:hideMark/>
          </w:tcPr>
          <w:p w14:paraId="4BD66BA0"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①根据矿山生态治理恢复后给地方居民带来的额外年收入增加值与常规的正常年收入的比计算得5分；</w:t>
            </w:r>
            <w:r w:rsidRPr="00AC1CE9">
              <w:rPr>
                <w:rFonts w:ascii="宋体" w:eastAsia="宋体" w:hAnsi="宋体" w:hint="eastAsia"/>
                <w:kern w:val="0"/>
                <w:sz w:val="20"/>
                <w:szCs w:val="20"/>
              </w:rPr>
              <w:br/>
              <w:t>②土地复垦利用率≥50%得5分。</w:t>
            </w:r>
          </w:p>
        </w:tc>
        <w:tc>
          <w:tcPr>
            <w:tcW w:w="818" w:type="dxa"/>
            <w:tcBorders>
              <w:top w:val="single" w:sz="4" w:space="0" w:color="000000"/>
              <w:left w:val="nil"/>
              <w:bottom w:val="single" w:sz="4" w:space="0" w:color="000000"/>
              <w:right w:val="single" w:sz="4" w:space="0" w:color="000000"/>
            </w:tcBorders>
            <w:vAlign w:val="center"/>
          </w:tcPr>
          <w:p w14:paraId="7BEBA792"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1A889310"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047E8C95" w14:textId="77777777" w:rsidR="00AC1CE9" w:rsidRDefault="00AC1CE9">
            <w:pPr>
              <w:widowControl/>
              <w:autoSpaceDE w:val="0"/>
              <w:jc w:val="center"/>
              <w:rPr>
                <w:rFonts w:ascii="宋体" w:hAnsi="宋体" w:hint="eastAsia"/>
                <w:sz w:val="20"/>
                <w:szCs w:val="20"/>
              </w:rPr>
            </w:pPr>
          </w:p>
        </w:tc>
      </w:tr>
      <w:tr w:rsidR="00AC1CE9" w14:paraId="77212C31" w14:textId="77777777" w:rsidTr="00AC1CE9">
        <w:trPr>
          <w:trHeight w:val="552"/>
        </w:trPr>
        <w:tc>
          <w:tcPr>
            <w:tcW w:w="1627" w:type="dxa"/>
            <w:vMerge/>
            <w:tcBorders>
              <w:top w:val="nil"/>
              <w:left w:val="single" w:sz="4" w:space="0" w:color="000000"/>
              <w:bottom w:val="single" w:sz="4" w:space="0" w:color="000000"/>
              <w:right w:val="single" w:sz="4" w:space="0" w:color="000000"/>
            </w:tcBorders>
            <w:vAlign w:val="center"/>
            <w:hideMark/>
          </w:tcPr>
          <w:p w14:paraId="102FBF0C" w14:textId="77777777" w:rsidR="00AC1CE9" w:rsidRPr="00AC1CE9" w:rsidRDefault="00AC1CE9">
            <w:pPr>
              <w:widowControl/>
              <w:jc w:val="left"/>
              <w:rPr>
                <w:rFonts w:ascii="宋体" w:eastAsia="宋体" w:hAnsi="宋体"/>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12C0EE4D"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社会效益</w:t>
            </w:r>
          </w:p>
        </w:tc>
        <w:tc>
          <w:tcPr>
            <w:tcW w:w="562" w:type="dxa"/>
            <w:tcBorders>
              <w:top w:val="single" w:sz="4" w:space="0" w:color="000000"/>
              <w:left w:val="nil"/>
              <w:bottom w:val="single" w:sz="4" w:space="0" w:color="000000"/>
              <w:right w:val="single" w:sz="4" w:space="0" w:color="000000"/>
            </w:tcBorders>
            <w:vAlign w:val="center"/>
            <w:hideMark/>
          </w:tcPr>
          <w:p w14:paraId="0E82C9A1"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vAlign w:val="center"/>
            <w:hideMark/>
          </w:tcPr>
          <w:p w14:paraId="4A7DEE2B"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①人居环境改善得3分；</w:t>
            </w:r>
          </w:p>
          <w:p w14:paraId="5C26C8CD" w14:textId="77777777" w:rsidR="00AC1CE9" w:rsidRPr="00AC1CE9" w:rsidRDefault="00AC1CE9">
            <w:pPr>
              <w:widowControl/>
              <w:autoSpaceDE w:val="0"/>
              <w:jc w:val="left"/>
              <w:textAlignment w:val="center"/>
              <w:rPr>
                <w:rFonts w:ascii="宋体" w:eastAsia="宋体" w:hAnsi="宋体" w:hint="eastAsia"/>
                <w:sz w:val="20"/>
                <w:szCs w:val="20"/>
              </w:rPr>
            </w:pPr>
            <w:r w:rsidRPr="00AC1CE9">
              <w:rPr>
                <w:rFonts w:ascii="宋体" w:eastAsia="宋体" w:hAnsi="宋体" w:hint="eastAsia"/>
                <w:kern w:val="0"/>
                <w:sz w:val="20"/>
                <w:szCs w:val="20"/>
              </w:rPr>
              <w:t>②防灾能力提升得2分。</w:t>
            </w:r>
          </w:p>
        </w:tc>
        <w:tc>
          <w:tcPr>
            <w:tcW w:w="818" w:type="dxa"/>
            <w:tcBorders>
              <w:top w:val="single" w:sz="4" w:space="0" w:color="000000"/>
              <w:left w:val="nil"/>
              <w:bottom w:val="single" w:sz="4" w:space="0" w:color="000000"/>
              <w:right w:val="single" w:sz="4" w:space="0" w:color="000000"/>
            </w:tcBorders>
            <w:vAlign w:val="center"/>
          </w:tcPr>
          <w:p w14:paraId="56F250DD" w14:textId="77777777" w:rsidR="00AC1CE9" w:rsidRDefault="00AC1CE9">
            <w:pPr>
              <w:widowControl/>
              <w:autoSpaceDE w:val="0"/>
              <w:jc w:val="center"/>
              <w:rPr>
                <w:rFonts w:ascii="宋体" w:hAnsi="宋体" w:hint="eastAsia"/>
                <w:sz w:val="20"/>
                <w:szCs w:val="20"/>
              </w:rPr>
            </w:pPr>
          </w:p>
        </w:tc>
        <w:tc>
          <w:tcPr>
            <w:tcW w:w="1046" w:type="dxa"/>
            <w:tcBorders>
              <w:top w:val="single" w:sz="4" w:space="0" w:color="000000"/>
              <w:left w:val="nil"/>
              <w:bottom w:val="single" w:sz="4" w:space="0" w:color="000000"/>
              <w:right w:val="single" w:sz="4" w:space="0" w:color="000000"/>
            </w:tcBorders>
            <w:vAlign w:val="center"/>
          </w:tcPr>
          <w:p w14:paraId="291519CF" w14:textId="77777777" w:rsidR="00AC1CE9" w:rsidRDefault="00AC1CE9">
            <w:pPr>
              <w:widowControl/>
              <w:autoSpaceDE w:val="0"/>
              <w:jc w:val="center"/>
              <w:rPr>
                <w:rFonts w:ascii="宋体" w:hAnsi="宋体" w:hint="eastAsia"/>
                <w:sz w:val="20"/>
                <w:szCs w:val="20"/>
              </w:rPr>
            </w:pPr>
          </w:p>
        </w:tc>
        <w:tc>
          <w:tcPr>
            <w:tcW w:w="3268" w:type="dxa"/>
            <w:tcBorders>
              <w:top w:val="single" w:sz="4" w:space="0" w:color="000000"/>
              <w:left w:val="nil"/>
              <w:bottom w:val="single" w:sz="4" w:space="0" w:color="000000"/>
              <w:right w:val="single" w:sz="4" w:space="0" w:color="000000"/>
            </w:tcBorders>
            <w:vAlign w:val="center"/>
          </w:tcPr>
          <w:p w14:paraId="298BE6C7" w14:textId="77777777" w:rsidR="00AC1CE9" w:rsidRDefault="00AC1CE9">
            <w:pPr>
              <w:widowControl/>
              <w:autoSpaceDE w:val="0"/>
              <w:jc w:val="center"/>
              <w:rPr>
                <w:rFonts w:ascii="宋体" w:hAnsi="宋体" w:hint="eastAsia"/>
                <w:sz w:val="20"/>
                <w:szCs w:val="20"/>
              </w:rPr>
            </w:pPr>
          </w:p>
        </w:tc>
      </w:tr>
      <w:tr w:rsidR="00AC1CE9" w14:paraId="03500D6A" w14:textId="77777777" w:rsidTr="00AC1CE9">
        <w:trPr>
          <w:trHeight w:val="600"/>
        </w:trPr>
        <w:tc>
          <w:tcPr>
            <w:tcW w:w="1627" w:type="dxa"/>
            <w:vMerge w:val="restart"/>
            <w:tcBorders>
              <w:top w:val="nil"/>
              <w:left w:val="single" w:sz="4" w:space="0" w:color="000000"/>
              <w:bottom w:val="nil"/>
              <w:right w:val="single" w:sz="4" w:space="0" w:color="000000"/>
            </w:tcBorders>
            <w:noWrap/>
            <w:vAlign w:val="center"/>
            <w:hideMark/>
          </w:tcPr>
          <w:p w14:paraId="4EA95414" w14:textId="77777777" w:rsidR="00AC1CE9" w:rsidRPr="00AC1CE9" w:rsidRDefault="00AC1CE9">
            <w:pPr>
              <w:widowControl/>
              <w:autoSpaceDE w:val="0"/>
              <w:jc w:val="center"/>
              <w:textAlignment w:val="center"/>
              <w:rPr>
                <w:rFonts w:ascii="宋体" w:eastAsia="宋体" w:hAnsi="宋体" w:hint="eastAsia"/>
                <w:kern w:val="0"/>
                <w:sz w:val="20"/>
                <w:szCs w:val="20"/>
              </w:rPr>
            </w:pPr>
            <w:r w:rsidRPr="00AC1CE9">
              <w:rPr>
                <w:rFonts w:ascii="宋体" w:eastAsia="宋体" w:hAnsi="宋体" w:hint="eastAsia"/>
                <w:kern w:val="0"/>
                <w:sz w:val="20"/>
                <w:szCs w:val="20"/>
              </w:rPr>
              <w:t>加分项（10分）</w:t>
            </w:r>
          </w:p>
        </w:tc>
        <w:tc>
          <w:tcPr>
            <w:tcW w:w="1446" w:type="dxa"/>
            <w:tcBorders>
              <w:top w:val="single" w:sz="4" w:space="0" w:color="000000"/>
              <w:left w:val="nil"/>
              <w:bottom w:val="single" w:sz="4" w:space="0" w:color="000000"/>
              <w:right w:val="single" w:sz="4" w:space="0" w:color="000000"/>
            </w:tcBorders>
            <w:vAlign w:val="center"/>
            <w:hideMark/>
          </w:tcPr>
          <w:p w14:paraId="510B5BE8" w14:textId="77777777" w:rsidR="00AC1CE9" w:rsidRPr="00AC1CE9" w:rsidRDefault="00AC1CE9">
            <w:pPr>
              <w:widowControl/>
              <w:autoSpaceDE w:val="0"/>
              <w:jc w:val="center"/>
              <w:rPr>
                <w:rFonts w:ascii="宋体" w:eastAsia="宋体" w:hAnsi="宋体" w:hint="eastAsia"/>
                <w:b/>
                <w:bCs/>
                <w:sz w:val="20"/>
                <w:szCs w:val="20"/>
              </w:rPr>
            </w:pPr>
            <w:r w:rsidRPr="00AC1CE9">
              <w:rPr>
                <w:rFonts w:ascii="宋体" w:eastAsia="宋体" w:hAnsi="宋体" w:hint="eastAsia"/>
                <w:kern w:val="0"/>
                <w:sz w:val="20"/>
                <w:szCs w:val="20"/>
              </w:rPr>
              <w:t>本级财政投入情况</w:t>
            </w:r>
          </w:p>
        </w:tc>
        <w:tc>
          <w:tcPr>
            <w:tcW w:w="562" w:type="dxa"/>
            <w:tcBorders>
              <w:top w:val="single" w:sz="4" w:space="0" w:color="000000"/>
              <w:left w:val="nil"/>
              <w:bottom w:val="single" w:sz="4" w:space="0" w:color="000000"/>
              <w:right w:val="single" w:sz="4" w:space="0" w:color="000000"/>
            </w:tcBorders>
            <w:vAlign w:val="center"/>
            <w:hideMark/>
          </w:tcPr>
          <w:p w14:paraId="3BD1A88D" w14:textId="77777777" w:rsidR="00AC1CE9" w:rsidRPr="00AC1CE9" w:rsidRDefault="00AC1CE9">
            <w:pPr>
              <w:widowControl/>
              <w:autoSpaceDE w:val="0"/>
              <w:jc w:val="center"/>
              <w:textAlignment w:val="center"/>
              <w:rPr>
                <w:rFonts w:ascii="宋体" w:eastAsia="宋体" w:hAnsi="宋体" w:hint="eastAsia"/>
                <w:b/>
                <w:bCs/>
                <w:kern w:val="0"/>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hideMark/>
          </w:tcPr>
          <w:p w14:paraId="753BF7D2"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①此项为加分项，本级财政筹措资金（含本级财政投入、引入社会资本，不含盘活往年结余资金）与当年度省级下达补助资金比值大于50%的加5分，大于40%的加4分，以此类推。</w:t>
            </w:r>
          </w:p>
        </w:tc>
        <w:tc>
          <w:tcPr>
            <w:tcW w:w="818" w:type="dxa"/>
            <w:tcBorders>
              <w:top w:val="single" w:sz="4" w:space="0" w:color="000000"/>
              <w:left w:val="nil"/>
              <w:bottom w:val="single" w:sz="4" w:space="0" w:color="000000"/>
              <w:right w:val="single" w:sz="4" w:space="0" w:color="000000"/>
            </w:tcBorders>
            <w:vAlign w:val="center"/>
          </w:tcPr>
          <w:p w14:paraId="189F21E3" w14:textId="77777777" w:rsidR="00AC1CE9" w:rsidRDefault="00AC1CE9">
            <w:pPr>
              <w:widowControl/>
              <w:autoSpaceDE w:val="0"/>
              <w:jc w:val="center"/>
              <w:textAlignment w:val="center"/>
              <w:rPr>
                <w:rFonts w:ascii="宋体" w:hAnsi="宋体" w:hint="eastAsia"/>
                <w:b/>
                <w:bCs/>
                <w:kern w:val="0"/>
                <w:sz w:val="20"/>
                <w:szCs w:val="20"/>
              </w:rPr>
            </w:pPr>
          </w:p>
        </w:tc>
        <w:tc>
          <w:tcPr>
            <w:tcW w:w="1046" w:type="dxa"/>
            <w:tcBorders>
              <w:top w:val="single" w:sz="4" w:space="0" w:color="000000"/>
              <w:left w:val="nil"/>
              <w:bottom w:val="single" w:sz="4" w:space="0" w:color="000000"/>
              <w:right w:val="single" w:sz="4" w:space="0" w:color="000000"/>
            </w:tcBorders>
            <w:vAlign w:val="center"/>
          </w:tcPr>
          <w:p w14:paraId="2BE3B8D7" w14:textId="77777777" w:rsidR="00AC1CE9" w:rsidRDefault="00AC1CE9">
            <w:pPr>
              <w:widowControl/>
              <w:autoSpaceDE w:val="0"/>
              <w:jc w:val="center"/>
              <w:textAlignment w:val="center"/>
              <w:rPr>
                <w:rFonts w:ascii="宋体" w:hAnsi="宋体" w:hint="eastAsia"/>
                <w:b/>
                <w:bCs/>
                <w:kern w:val="0"/>
                <w:sz w:val="20"/>
                <w:szCs w:val="20"/>
              </w:rPr>
            </w:pPr>
          </w:p>
        </w:tc>
        <w:tc>
          <w:tcPr>
            <w:tcW w:w="3268" w:type="dxa"/>
            <w:tcBorders>
              <w:top w:val="single" w:sz="4" w:space="0" w:color="000000"/>
              <w:left w:val="nil"/>
              <w:bottom w:val="single" w:sz="4" w:space="0" w:color="000000"/>
              <w:right w:val="single" w:sz="4" w:space="0" w:color="000000"/>
            </w:tcBorders>
            <w:vAlign w:val="center"/>
          </w:tcPr>
          <w:p w14:paraId="5A36CC7F" w14:textId="77777777" w:rsidR="00AC1CE9" w:rsidRDefault="00AC1CE9">
            <w:pPr>
              <w:widowControl/>
              <w:autoSpaceDE w:val="0"/>
              <w:jc w:val="center"/>
              <w:rPr>
                <w:rFonts w:ascii="宋体" w:hAnsi="宋体" w:hint="eastAsia"/>
                <w:b/>
                <w:bCs/>
                <w:sz w:val="20"/>
                <w:szCs w:val="20"/>
              </w:rPr>
            </w:pPr>
          </w:p>
        </w:tc>
      </w:tr>
      <w:tr w:rsidR="00AC1CE9" w14:paraId="00F19549" w14:textId="77777777" w:rsidTr="00AC1CE9">
        <w:trPr>
          <w:trHeight w:val="600"/>
        </w:trPr>
        <w:tc>
          <w:tcPr>
            <w:tcW w:w="1627" w:type="dxa"/>
            <w:vMerge/>
            <w:tcBorders>
              <w:top w:val="nil"/>
              <w:left w:val="single" w:sz="4" w:space="0" w:color="000000"/>
              <w:bottom w:val="nil"/>
              <w:right w:val="single" w:sz="4" w:space="0" w:color="000000"/>
            </w:tcBorders>
            <w:vAlign w:val="center"/>
            <w:hideMark/>
          </w:tcPr>
          <w:p w14:paraId="311F56DA" w14:textId="77777777" w:rsidR="00AC1CE9" w:rsidRPr="00AC1CE9" w:rsidRDefault="00AC1CE9">
            <w:pPr>
              <w:widowControl/>
              <w:jc w:val="left"/>
              <w:rPr>
                <w:rFonts w:ascii="宋体" w:eastAsia="宋体" w:hAnsi="宋体"/>
                <w:kern w:val="0"/>
                <w:sz w:val="20"/>
                <w:szCs w:val="20"/>
              </w:rPr>
            </w:pPr>
          </w:p>
        </w:tc>
        <w:tc>
          <w:tcPr>
            <w:tcW w:w="1446" w:type="dxa"/>
            <w:tcBorders>
              <w:top w:val="single" w:sz="4" w:space="0" w:color="000000"/>
              <w:left w:val="nil"/>
              <w:bottom w:val="single" w:sz="4" w:space="0" w:color="000000"/>
              <w:right w:val="single" w:sz="4" w:space="0" w:color="000000"/>
            </w:tcBorders>
            <w:vAlign w:val="center"/>
            <w:hideMark/>
          </w:tcPr>
          <w:p w14:paraId="1A53BDA5" w14:textId="77777777" w:rsidR="00AC1CE9" w:rsidRPr="00AC1CE9" w:rsidRDefault="00AC1CE9">
            <w:pPr>
              <w:widowControl/>
              <w:autoSpaceDE w:val="0"/>
              <w:jc w:val="center"/>
              <w:rPr>
                <w:rFonts w:ascii="宋体" w:eastAsia="宋体" w:hAnsi="宋体" w:hint="eastAsia"/>
                <w:kern w:val="0"/>
                <w:sz w:val="20"/>
                <w:szCs w:val="20"/>
              </w:rPr>
            </w:pPr>
            <w:r w:rsidRPr="00AC1CE9">
              <w:rPr>
                <w:rFonts w:ascii="宋体" w:eastAsia="宋体" w:hAnsi="宋体" w:hint="eastAsia"/>
                <w:kern w:val="0"/>
                <w:sz w:val="20"/>
                <w:szCs w:val="20"/>
              </w:rPr>
              <w:t>探索利用市场化方式推进矿山生态修复</w:t>
            </w:r>
          </w:p>
        </w:tc>
        <w:tc>
          <w:tcPr>
            <w:tcW w:w="562" w:type="dxa"/>
            <w:tcBorders>
              <w:top w:val="single" w:sz="4" w:space="0" w:color="000000"/>
              <w:left w:val="nil"/>
              <w:bottom w:val="single" w:sz="4" w:space="0" w:color="000000"/>
              <w:right w:val="single" w:sz="4" w:space="0" w:color="000000"/>
            </w:tcBorders>
            <w:vAlign w:val="center"/>
            <w:hideMark/>
          </w:tcPr>
          <w:p w14:paraId="199F2242" w14:textId="77777777" w:rsidR="00AC1CE9" w:rsidRPr="00AC1CE9" w:rsidRDefault="00AC1CE9">
            <w:pPr>
              <w:widowControl/>
              <w:autoSpaceDE w:val="0"/>
              <w:jc w:val="center"/>
              <w:textAlignment w:val="center"/>
              <w:rPr>
                <w:rFonts w:ascii="宋体" w:eastAsia="宋体" w:hAnsi="宋体" w:hint="eastAsia"/>
                <w:b/>
                <w:bCs/>
                <w:kern w:val="0"/>
                <w:sz w:val="20"/>
                <w:szCs w:val="20"/>
              </w:rPr>
            </w:pPr>
            <w:r w:rsidRPr="00AC1CE9">
              <w:rPr>
                <w:rFonts w:ascii="宋体" w:eastAsia="宋体" w:hAnsi="宋体" w:hint="eastAsia"/>
                <w:kern w:val="0"/>
                <w:sz w:val="20"/>
                <w:szCs w:val="20"/>
              </w:rPr>
              <w:t>5</w:t>
            </w:r>
          </w:p>
        </w:tc>
        <w:tc>
          <w:tcPr>
            <w:tcW w:w="5847" w:type="dxa"/>
            <w:tcBorders>
              <w:top w:val="single" w:sz="4" w:space="0" w:color="000000"/>
              <w:left w:val="nil"/>
              <w:bottom w:val="single" w:sz="4" w:space="0" w:color="000000"/>
              <w:right w:val="single" w:sz="4" w:space="0" w:color="000000"/>
            </w:tcBorders>
            <w:hideMark/>
          </w:tcPr>
          <w:p w14:paraId="08F2041D" w14:textId="77777777" w:rsidR="00AC1CE9" w:rsidRPr="00AC1CE9" w:rsidRDefault="00AC1CE9">
            <w:pPr>
              <w:widowControl/>
              <w:autoSpaceDE w:val="0"/>
              <w:jc w:val="left"/>
              <w:textAlignment w:val="center"/>
              <w:rPr>
                <w:rFonts w:ascii="宋体" w:eastAsia="宋体" w:hAnsi="宋体" w:hint="eastAsia"/>
                <w:kern w:val="0"/>
                <w:sz w:val="20"/>
                <w:szCs w:val="20"/>
              </w:rPr>
            </w:pPr>
            <w:r w:rsidRPr="00AC1CE9">
              <w:rPr>
                <w:rFonts w:ascii="宋体" w:eastAsia="宋体" w:hAnsi="宋体" w:hint="eastAsia"/>
                <w:kern w:val="0"/>
                <w:sz w:val="20"/>
                <w:szCs w:val="20"/>
              </w:rPr>
              <w:t>按照《自然资源部关于探索利用市场化方式推进矿山生态修复的实施意见》精神，积极探索利用市场化方式推进矿山生态修复，成效显著的加5分。</w:t>
            </w:r>
          </w:p>
        </w:tc>
        <w:tc>
          <w:tcPr>
            <w:tcW w:w="818" w:type="dxa"/>
            <w:tcBorders>
              <w:top w:val="single" w:sz="4" w:space="0" w:color="000000"/>
              <w:left w:val="nil"/>
              <w:bottom w:val="single" w:sz="4" w:space="0" w:color="000000"/>
              <w:right w:val="single" w:sz="4" w:space="0" w:color="000000"/>
            </w:tcBorders>
            <w:vAlign w:val="center"/>
          </w:tcPr>
          <w:p w14:paraId="4794809C" w14:textId="77777777" w:rsidR="00AC1CE9" w:rsidRDefault="00AC1CE9">
            <w:pPr>
              <w:widowControl/>
              <w:autoSpaceDE w:val="0"/>
              <w:jc w:val="center"/>
              <w:textAlignment w:val="center"/>
              <w:rPr>
                <w:rFonts w:ascii="宋体" w:hAnsi="宋体" w:hint="eastAsia"/>
                <w:b/>
                <w:bCs/>
                <w:kern w:val="0"/>
                <w:sz w:val="20"/>
                <w:szCs w:val="20"/>
              </w:rPr>
            </w:pPr>
          </w:p>
        </w:tc>
        <w:tc>
          <w:tcPr>
            <w:tcW w:w="1046" w:type="dxa"/>
            <w:tcBorders>
              <w:top w:val="single" w:sz="4" w:space="0" w:color="000000"/>
              <w:left w:val="nil"/>
              <w:bottom w:val="single" w:sz="4" w:space="0" w:color="000000"/>
              <w:right w:val="single" w:sz="4" w:space="0" w:color="000000"/>
            </w:tcBorders>
            <w:vAlign w:val="center"/>
          </w:tcPr>
          <w:p w14:paraId="2716C3BB" w14:textId="77777777" w:rsidR="00AC1CE9" w:rsidRDefault="00AC1CE9">
            <w:pPr>
              <w:widowControl/>
              <w:autoSpaceDE w:val="0"/>
              <w:jc w:val="center"/>
              <w:textAlignment w:val="center"/>
              <w:rPr>
                <w:rFonts w:ascii="宋体" w:hAnsi="宋体" w:hint="eastAsia"/>
                <w:b/>
                <w:bCs/>
                <w:kern w:val="0"/>
                <w:sz w:val="20"/>
                <w:szCs w:val="20"/>
              </w:rPr>
            </w:pPr>
          </w:p>
        </w:tc>
        <w:tc>
          <w:tcPr>
            <w:tcW w:w="3268" w:type="dxa"/>
            <w:tcBorders>
              <w:top w:val="single" w:sz="4" w:space="0" w:color="000000"/>
              <w:left w:val="nil"/>
              <w:bottom w:val="single" w:sz="4" w:space="0" w:color="000000"/>
              <w:right w:val="single" w:sz="4" w:space="0" w:color="000000"/>
            </w:tcBorders>
            <w:vAlign w:val="center"/>
          </w:tcPr>
          <w:p w14:paraId="2F5F955B" w14:textId="77777777" w:rsidR="00AC1CE9" w:rsidRDefault="00AC1CE9">
            <w:pPr>
              <w:widowControl/>
              <w:autoSpaceDE w:val="0"/>
              <w:jc w:val="center"/>
              <w:rPr>
                <w:rFonts w:ascii="宋体" w:hAnsi="宋体" w:hint="eastAsia"/>
                <w:b/>
                <w:bCs/>
                <w:sz w:val="20"/>
                <w:szCs w:val="20"/>
              </w:rPr>
            </w:pPr>
          </w:p>
        </w:tc>
      </w:tr>
      <w:tr w:rsidR="00AC1CE9" w14:paraId="7591E401" w14:textId="77777777" w:rsidTr="00AC1CE9">
        <w:trPr>
          <w:trHeight w:val="600"/>
        </w:trPr>
        <w:tc>
          <w:tcPr>
            <w:tcW w:w="1627" w:type="dxa"/>
            <w:tcBorders>
              <w:top w:val="single" w:sz="4" w:space="0" w:color="000000"/>
              <w:left w:val="single" w:sz="4" w:space="0" w:color="000000"/>
              <w:bottom w:val="single" w:sz="4" w:space="0" w:color="000000"/>
              <w:right w:val="single" w:sz="4" w:space="0" w:color="000000"/>
            </w:tcBorders>
            <w:noWrap/>
            <w:vAlign w:val="center"/>
            <w:hideMark/>
          </w:tcPr>
          <w:p w14:paraId="4EF8C119"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合 计</w:t>
            </w:r>
          </w:p>
        </w:tc>
        <w:tc>
          <w:tcPr>
            <w:tcW w:w="1446" w:type="dxa"/>
            <w:tcBorders>
              <w:top w:val="single" w:sz="4" w:space="0" w:color="000000"/>
              <w:left w:val="nil"/>
              <w:bottom w:val="single" w:sz="4" w:space="0" w:color="000000"/>
              <w:right w:val="single" w:sz="4" w:space="0" w:color="000000"/>
            </w:tcBorders>
          </w:tcPr>
          <w:p w14:paraId="3814C309" w14:textId="77777777" w:rsidR="00AC1CE9" w:rsidRPr="00AC1CE9" w:rsidRDefault="00AC1CE9">
            <w:pPr>
              <w:widowControl/>
              <w:autoSpaceDE w:val="0"/>
              <w:jc w:val="center"/>
              <w:rPr>
                <w:rFonts w:ascii="宋体" w:eastAsia="宋体" w:hAnsi="宋体" w:hint="eastAsia"/>
                <w:sz w:val="20"/>
                <w:szCs w:val="20"/>
              </w:rPr>
            </w:pPr>
          </w:p>
        </w:tc>
        <w:tc>
          <w:tcPr>
            <w:tcW w:w="562" w:type="dxa"/>
            <w:tcBorders>
              <w:top w:val="single" w:sz="4" w:space="0" w:color="000000"/>
              <w:left w:val="nil"/>
              <w:bottom w:val="single" w:sz="4" w:space="0" w:color="000000"/>
              <w:right w:val="single" w:sz="4" w:space="0" w:color="000000"/>
            </w:tcBorders>
            <w:vAlign w:val="center"/>
            <w:hideMark/>
          </w:tcPr>
          <w:p w14:paraId="0F8B053E" w14:textId="77777777" w:rsidR="00AC1CE9" w:rsidRPr="00AC1CE9" w:rsidRDefault="00AC1CE9">
            <w:pPr>
              <w:widowControl/>
              <w:autoSpaceDE w:val="0"/>
              <w:jc w:val="center"/>
              <w:textAlignment w:val="center"/>
              <w:rPr>
                <w:rFonts w:ascii="宋体" w:eastAsia="宋体" w:hAnsi="宋体" w:hint="eastAsia"/>
                <w:sz w:val="20"/>
                <w:szCs w:val="20"/>
              </w:rPr>
            </w:pPr>
            <w:r w:rsidRPr="00AC1CE9">
              <w:rPr>
                <w:rFonts w:ascii="宋体" w:eastAsia="宋体" w:hAnsi="宋体" w:hint="eastAsia"/>
                <w:kern w:val="0"/>
                <w:sz w:val="20"/>
                <w:szCs w:val="20"/>
              </w:rPr>
              <w:t>100(110）</w:t>
            </w:r>
          </w:p>
        </w:tc>
        <w:tc>
          <w:tcPr>
            <w:tcW w:w="5847" w:type="dxa"/>
            <w:tcBorders>
              <w:top w:val="single" w:sz="4" w:space="0" w:color="000000"/>
              <w:left w:val="nil"/>
              <w:bottom w:val="single" w:sz="4" w:space="0" w:color="000000"/>
              <w:right w:val="single" w:sz="4" w:space="0" w:color="000000"/>
            </w:tcBorders>
          </w:tcPr>
          <w:p w14:paraId="6354CE40" w14:textId="77777777" w:rsidR="00AC1CE9" w:rsidRPr="00AC1CE9" w:rsidRDefault="00AC1CE9">
            <w:pPr>
              <w:widowControl/>
              <w:autoSpaceDE w:val="0"/>
              <w:jc w:val="center"/>
              <w:rPr>
                <w:rFonts w:ascii="宋体" w:eastAsia="宋体" w:hAnsi="宋体" w:hint="eastAsia"/>
                <w:sz w:val="20"/>
                <w:szCs w:val="20"/>
              </w:rPr>
            </w:pPr>
          </w:p>
        </w:tc>
        <w:tc>
          <w:tcPr>
            <w:tcW w:w="818" w:type="dxa"/>
            <w:tcBorders>
              <w:top w:val="single" w:sz="4" w:space="0" w:color="000000"/>
              <w:left w:val="nil"/>
              <w:bottom w:val="single" w:sz="4" w:space="0" w:color="000000"/>
              <w:right w:val="single" w:sz="4" w:space="0" w:color="000000"/>
            </w:tcBorders>
            <w:vAlign w:val="center"/>
          </w:tcPr>
          <w:p w14:paraId="477945F7" w14:textId="77777777" w:rsidR="00AC1CE9" w:rsidRDefault="00AC1CE9">
            <w:pPr>
              <w:widowControl/>
              <w:autoSpaceDE w:val="0"/>
              <w:jc w:val="center"/>
              <w:textAlignment w:val="center"/>
              <w:rPr>
                <w:rFonts w:ascii="宋体" w:hAnsi="宋体" w:hint="eastAsia"/>
                <w:b/>
                <w:bCs/>
                <w:sz w:val="20"/>
                <w:szCs w:val="20"/>
              </w:rPr>
            </w:pPr>
          </w:p>
        </w:tc>
        <w:tc>
          <w:tcPr>
            <w:tcW w:w="1046" w:type="dxa"/>
            <w:tcBorders>
              <w:top w:val="single" w:sz="4" w:space="0" w:color="000000"/>
              <w:left w:val="nil"/>
              <w:bottom w:val="single" w:sz="4" w:space="0" w:color="000000"/>
              <w:right w:val="single" w:sz="4" w:space="0" w:color="000000"/>
            </w:tcBorders>
            <w:vAlign w:val="center"/>
          </w:tcPr>
          <w:p w14:paraId="127DF0F8" w14:textId="77777777" w:rsidR="00AC1CE9" w:rsidRDefault="00AC1CE9">
            <w:pPr>
              <w:widowControl/>
              <w:autoSpaceDE w:val="0"/>
              <w:jc w:val="center"/>
              <w:textAlignment w:val="center"/>
              <w:rPr>
                <w:rFonts w:ascii="宋体" w:hAnsi="宋体" w:hint="eastAsia"/>
                <w:b/>
                <w:bCs/>
                <w:sz w:val="20"/>
                <w:szCs w:val="20"/>
              </w:rPr>
            </w:pPr>
          </w:p>
        </w:tc>
        <w:tc>
          <w:tcPr>
            <w:tcW w:w="3268" w:type="dxa"/>
            <w:tcBorders>
              <w:top w:val="single" w:sz="4" w:space="0" w:color="000000"/>
              <w:left w:val="nil"/>
              <w:bottom w:val="single" w:sz="4" w:space="0" w:color="000000"/>
              <w:right w:val="single" w:sz="4" w:space="0" w:color="000000"/>
            </w:tcBorders>
            <w:vAlign w:val="center"/>
          </w:tcPr>
          <w:p w14:paraId="04922494" w14:textId="77777777" w:rsidR="00AC1CE9" w:rsidRDefault="00AC1CE9">
            <w:pPr>
              <w:widowControl/>
              <w:autoSpaceDE w:val="0"/>
              <w:jc w:val="center"/>
              <w:rPr>
                <w:rFonts w:ascii="宋体" w:hAnsi="宋体" w:hint="eastAsia"/>
                <w:b/>
                <w:bCs/>
                <w:sz w:val="20"/>
                <w:szCs w:val="20"/>
              </w:rPr>
            </w:pPr>
          </w:p>
        </w:tc>
      </w:tr>
    </w:tbl>
    <w:p w14:paraId="78E4FAF0" w14:textId="77777777" w:rsidR="00AC1CE9" w:rsidRDefault="00AC1CE9" w:rsidP="00AC1CE9">
      <w:pPr>
        <w:pStyle w:val="Default"/>
        <w:rPr>
          <w:rFonts w:ascii="Times New Roman" w:cs="Times New Roman" w:hint="eastAsia"/>
        </w:rPr>
        <w:sectPr w:rsidR="00AC1CE9" w:rsidSect="00AC1CE9">
          <w:pgSz w:w="15840" w:h="12240" w:orient="landscape" w:code="1"/>
          <w:pgMar w:top="720" w:right="720" w:bottom="720" w:left="720" w:header="720" w:footer="720" w:gutter="0"/>
          <w:cols w:space="720"/>
          <w:docGrid w:linePitch="286"/>
        </w:sectPr>
      </w:pPr>
    </w:p>
    <w:p w14:paraId="14085671" w14:textId="77777777" w:rsidR="00C66D6A" w:rsidRDefault="00C66D6A">
      <w:pPr>
        <w:rPr>
          <w:rFonts w:hint="eastAsia"/>
        </w:rPr>
      </w:pPr>
    </w:p>
    <w:sectPr w:rsidR="00C66D6A" w:rsidSect="00AC1CE9">
      <w:pgSz w:w="16838" w:h="11906" w:orient="landscape" w:code="9"/>
      <w:pgMar w:top="1531" w:right="1985" w:bottom="1531" w:left="209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E869E4"/>
    <w:rsid w:val="0023418C"/>
    <w:rsid w:val="002D6A28"/>
    <w:rsid w:val="0041514C"/>
    <w:rsid w:val="00AC1CE9"/>
    <w:rsid w:val="00B725EC"/>
    <w:rsid w:val="00C66D6A"/>
    <w:rsid w:val="00E8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BDB4"/>
  <w15:chartTrackingRefBased/>
  <w15:docId w15:val="{08B5F463-F337-462F-AC97-A7E06A97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1514C"/>
    <w:pPr>
      <w:snapToGrid w:val="0"/>
      <w:jc w:val="left"/>
    </w:pPr>
    <w:rPr>
      <w:sz w:val="18"/>
      <w:szCs w:val="18"/>
    </w:rPr>
  </w:style>
  <w:style w:type="character" w:customStyle="1" w:styleId="a4">
    <w:name w:val="脚注文本 字符"/>
    <w:link w:val="a3"/>
    <w:uiPriority w:val="99"/>
    <w:rsid w:val="0041514C"/>
    <w:rPr>
      <w:sz w:val="18"/>
      <w:szCs w:val="18"/>
    </w:rPr>
  </w:style>
  <w:style w:type="paragraph" w:customStyle="1" w:styleId="Default">
    <w:name w:val="Default"/>
    <w:basedOn w:val="a"/>
    <w:rsid w:val="00AC1CE9"/>
    <w:pPr>
      <w:autoSpaceDE w:val="0"/>
      <w:autoSpaceDN w:val="0"/>
      <w:adjustRightInd w:val="0"/>
      <w:spacing w:line="360" w:lineRule="auto"/>
    </w:pPr>
    <w:rPr>
      <w:rFonts w:ascii="黑体" w:eastAsia="黑体" w:hAnsi="Times New Roman" w:cs="宋体"/>
      <w:color w:val="000000"/>
      <w:kern w:val="0"/>
      <w:sz w:val="24"/>
      <w:szCs w:val="24"/>
    </w:rPr>
  </w:style>
  <w:style w:type="character" w:customStyle="1" w:styleId="15">
    <w:name w:val="15"/>
    <w:basedOn w:val="a0"/>
    <w:rsid w:val="00AC1CE9"/>
    <w:rPr>
      <w:rFonts w:ascii="黑体" w:eastAsia="黑体" w:hAnsi="宋体" w:hint="eastAsia"/>
      <w:b/>
      <w:bCs/>
      <w:color w:val="000000"/>
      <w:sz w:val="20"/>
      <w:szCs w:val="20"/>
    </w:rPr>
  </w:style>
  <w:style w:type="character" w:customStyle="1" w:styleId="16">
    <w:name w:val="16"/>
    <w:basedOn w:val="a0"/>
    <w:rsid w:val="00AC1CE9"/>
    <w:rPr>
      <w:rFonts w:ascii="黑体" w:eastAsia="黑体" w:hAnsi="宋体" w:hint="eastAsia"/>
      <w:color w:val="000000"/>
      <w:sz w:val="44"/>
      <w:szCs w:val="44"/>
    </w:rPr>
  </w:style>
  <w:style w:type="character" w:customStyle="1" w:styleId="17">
    <w:name w:val="17"/>
    <w:basedOn w:val="a0"/>
    <w:rsid w:val="00AC1CE9"/>
    <w:rPr>
      <w:rFonts w:ascii="仿宋_GB2312" w:eastAsia="仿宋_GB2312"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4272">
      <w:bodyDiv w:val="1"/>
      <w:marLeft w:val="0"/>
      <w:marRight w:val="0"/>
      <w:marTop w:val="0"/>
      <w:marBottom w:val="0"/>
      <w:divBdr>
        <w:top w:val="none" w:sz="0" w:space="0" w:color="auto"/>
        <w:left w:val="none" w:sz="0" w:space="0" w:color="auto"/>
        <w:bottom w:val="none" w:sz="0" w:space="0" w:color="auto"/>
        <w:right w:val="none" w:sz="0" w:space="0" w:color="auto"/>
      </w:divBdr>
    </w:div>
    <w:div w:id="757407111">
      <w:bodyDiv w:val="1"/>
      <w:marLeft w:val="0"/>
      <w:marRight w:val="0"/>
      <w:marTop w:val="0"/>
      <w:marBottom w:val="0"/>
      <w:divBdr>
        <w:top w:val="none" w:sz="0" w:space="0" w:color="auto"/>
        <w:left w:val="none" w:sz="0" w:space="0" w:color="auto"/>
        <w:bottom w:val="none" w:sz="0" w:space="0" w:color="auto"/>
        <w:right w:val="none" w:sz="0" w:space="0" w:color="auto"/>
      </w:divBdr>
    </w:div>
    <w:div w:id="18112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2022-04-20T06:41:00Z</dcterms:created>
  <dcterms:modified xsi:type="dcterms:W3CDTF">2022-04-20T06:44:00Z</dcterms:modified>
</cp:coreProperties>
</file>