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1E9FD">
      <w:pPr>
        <w:overflowPunct w:val="0"/>
        <w:topLinePunct/>
        <w:spacing w:after="0" w:line="580" w:lineRule="exact"/>
        <w:jc w:val="both"/>
        <w:rPr>
          <w:rFonts w:eastAsia="仿宋_GB2312"/>
          <w:sz w:val="32"/>
          <w:szCs w:val="32"/>
        </w:rPr>
      </w:pPr>
    </w:p>
    <w:p w14:paraId="05CE8BC3">
      <w:pPr>
        <w:overflowPunct w:val="0"/>
        <w:topLinePunct/>
        <w:spacing w:after="0" w:line="580" w:lineRule="exact"/>
        <w:jc w:val="center"/>
        <w:rPr>
          <w:rFonts w:eastAsia="方正小标宋简体"/>
          <w:sz w:val="44"/>
          <w:szCs w:val="44"/>
        </w:rPr>
      </w:pPr>
      <w:r>
        <w:rPr>
          <w:rFonts w:eastAsia="方正小标宋简体"/>
          <w:sz w:val="44"/>
          <w:szCs w:val="44"/>
        </w:rPr>
        <w:t>四川省推进美丽城市建设工作方案</w:t>
      </w:r>
    </w:p>
    <w:p w14:paraId="7E4F173B">
      <w:pPr>
        <w:overflowPunct w:val="0"/>
        <w:topLinePunct/>
        <w:spacing w:after="0" w:line="580" w:lineRule="exact"/>
        <w:jc w:val="center"/>
        <w:rPr>
          <w:rFonts w:eastAsia="方正小标宋简体"/>
          <w:sz w:val="36"/>
          <w:szCs w:val="36"/>
        </w:rPr>
      </w:pPr>
    </w:p>
    <w:p w14:paraId="523AA92C">
      <w:pPr>
        <w:overflowPunct w:val="0"/>
        <w:topLinePunct/>
        <w:spacing w:after="0" w:line="580" w:lineRule="exact"/>
        <w:ind w:firstLine="640" w:firstLineChars="200"/>
        <w:jc w:val="both"/>
        <w:rPr>
          <w:rFonts w:eastAsia="仿宋_GB2312"/>
          <w:sz w:val="32"/>
          <w:szCs w:val="32"/>
        </w:rPr>
      </w:pPr>
      <w:r>
        <w:rPr>
          <w:rFonts w:eastAsia="仿宋_GB2312"/>
          <w:sz w:val="32"/>
          <w:szCs w:val="32"/>
        </w:rPr>
        <w:t>为贯彻落实《美丽城市建设实施方案》《中共四川省委 四川省人民政府关于全面推进美丽四川建设的实施意见》，助力打造</w:t>
      </w:r>
      <w:r>
        <w:rPr>
          <w:rFonts w:hint="eastAsia" w:ascii="仿宋_GB2312" w:eastAsia="仿宋_GB2312"/>
          <w:sz w:val="32"/>
          <w:szCs w:val="32"/>
        </w:rPr>
        <w:t>“公园城市、安逸家园”</w:t>
      </w:r>
      <w:r>
        <w:rPr>
          <w:rFonts w:eastAsia="仿宋_GB2312"/>
          <w:sz w:val="32"/>
          <w:szCs w:val="32"/>
        </w:rPr>
        <w:t>，制定本方案。</w:t>
      </w:r>
    </w:p>
    <w:p w14:paraId="3B14B69B">
      <w:pPr>
        <w:overflowPunct w:val="0"/>
        <w:topLinePunct/>
        <w:spacing w:after="0" w:line="580" w:lineRule="exact"/>
        <w:ind w:firstLine="640" w:firstLineChars="200"/>
        <w:jc w:val="both"/>
        <w:outlineLvl w:val="0"/>
        <w:rPr>
          <w:rFonts w:eastAsia="黑体"/>
          <w:sz w:val="32"/>
          <w:szCs w:val="32"/>
        </w:rPr>
      </w:pPr>
      <w:r>
        <w:rPr>
          <w:rFonts w:eastAsia="黑体"/>
          <w:sz w:val="32"/>
          <w:szCs w:val="32"/>
        </w:rPr>
        <w:t>一、总体要求</w:t>
      </w:r>
    </w:p>
    <w:p w14:paraId="7E572468">
      <w:pPr>
        <w:overflowPunct w:val="0"/>
        <w:topLinePunct/>
        <w:spacing w:after="0" w:line="580" w:lineRule="exact"/>
        <w:ind w:firstLine="640" w:firstLineChars="200"/>
        <w:jc w:val="both"/>
        <w:outlineLvl w:val="0"/>
        <w:rPr>
          <w:rFonts w:ascii="仿宋_GB2312" w:eastAsia="仿宋_GB2312"/>
          <w:sz w:val="32"/>
          <w:szCs w:val="32"/>
        </w:rPr>
      </w:pPr>
      <w:r>
        <w:rPr>
          <w:rFonts w:hint="eastAsia" w:ascii="仿宋_GB2312" w:eastAsia="仿宋_GB2312"/>
          <w:sz w:val="32"/>
          <w:szCs w:val="32"/>
        </w:rPr>
        <w:t>以习近平新时代中国特色社会主义思想特别是习近平生态文明思想为指导，全面贯彻党的</w:t>
      </w:r>
      <w:r>
        <w:rPr>
          <w:rFonts w:eastAsia="仿宋_GB2312"/>
          <w:sz w:val="32"/>
          <w:szCs w:val="32"/>
        </w:rPr>
        <w:t>二十大和二十届历次全会精神以及习近平总书记对四川工作系列重要指示精神，认真学习贯彻中央及省委城市工作会议决策部署，以建设绿色低碳、环境优美、生态宜居、安全健康、智慧高效的美</w:t>
      </w:r>
      <w:r>
        <w:rPr>
          <w:rFonts w:hint="eastAsia" w:ascii="仿宋_GB2312" w:eastAsia="仿宋_GB2312"/>
          <w:sz w:val="32"/>
          <w:szCs w:val="32"/>
        </w:rPr>
        <w:t>丽城市为目标，深入实施“四化同步、城乡融合、五区共兴”发</w:t>
      </w:r>
      <w:r>
        <w:rPr>
          <w:rFonts w:eastAsia="仿宋_GB2312"/>
          <w:sz w:val="32"/>
          <w:szCs w:val="32"/>
        </w:rPr>
        <w:t>展战略，分阶段梯次推进美丽城市建设，构建以成都公园城市示范区为引领、7个区域中心城市和10个重要节点城市及三州地区为支撑、19个县级市</w:t>
      </w:r>
      <w:r>
        <w:rPr>
          <w:rFonts w:hint="eastAsia" w:ascii="仿宋_GB2312" w:eastAsia="仿宋_GB2312"/>
          <w:sz w:val="32"/>
          <w:szCs w:val="32"/>
        </w:rPr>
        <w:t>为补充的“</w:t>
      </w:r>
      <w:r>
        <w:rPr>
          <w:rFonts w:eastAsia="仿宋_GB2312"/>
          <w:sz w:val="32"/>
          <w:szCs w:val="32"/>
        </w:rPr>
        <w:t>1+7+10+3+19</w:t>
      </w:r>
      <w:r>
        <w:rPr>
          <w:rFonts w:hint="eastAsia" w:ascii="仿宋_GB2312" w:eastAsia="仿宋_GB2312"/>
          <w:sz w:val="32"/>
          <w:szCs w:val="32"/>
        </w:rPr>
        <w:t>”美丽城市体系。</w:t>
      </w:r>
    </w:p>
    <w:p w14:paraId="4D250782">
      <w:pPr>
        <w:overflowPunct w:val="0"/>
        <w:topLinePunct/>
        <w:spacing w:after="0" w:line="580" w:lineRule="exact"/>
        <w:ind w:firstLine="640" w:firstLineChars="200"/>
        <w:jc w:val="both"/>
        <w:rPr>
          <w:rFonts w:eastAsia="仿宋_GB2312"/>
          <w:sz w:val="32"/>
          <w:szCs w:val="32"/>
        </w:rPr>
      </w:pPr>
      <w:r>
        <w:rPr>
          <w:rFonts w:hint="eastAsia" w:eastAsia="仿宋_GB2312"/>
          <w:sz w:val="32"/>
          <w:szCs w:val="32"/>
        </w:rPr>
        <w:t>主要目标</w:t>
      </w:r>
      <w:r>
        <w:rPr>
          <w:rFonts w:eastAsia="仿宋_GB2312"/>
          <w:sz w:val="32"/>
          <w:szCs w:val="32"/>
        </w:rPr>
        <w:t>：</w:t>
      </w:r>
      <w:r>
        <w:rPr>
          <w:rFonts w:hint="eastAsia" w:eastAsia="仿宋_GB2312"/>
          <w:sz w:val="32"/>
          <w:szCs w:val="32"/>
        </w:rPr>
        <w:t>到2027年，推动8个地级城市和6个县级城市成为美丽城市示范标杆，力争2个左右城市成为美丽中国先行区建设示范标杆。到2030年，13个地级城市和11个县级城市美丽城市建设取得明显成效。到2035年实现全覆盖。</w:t>
      </w:r>
    </w:p>
    <w:p w14:paraId="75C337E2">
      <w:pPr>
        <w:overflowPunct w:val="0"/>
        <w:topLinePunct/>
        <w:spacing w:after="0" w:line="580" w:lineRule="exact"/>
        <w:ind w:firstLine="640" w:firstLineChars="200"/>
        <w:jc w:val="both"/>
        <w:outlineLvl w:val="0"/>
        <w:rPr>
          <w:rFonts w:eastAsia="黑体"/>
          <w:sz w:val="32"/>
          <w:szCs w:val="32"/>
        </w:rPr>
      </w:pPr>
      <w:r>
        <w:rPr>
          <w:rFonts w:eastAsia="黑体"/>
          <w:sz w:val="32"/>
          <w:szCs w:val="32"/>
        </w:rPr>
        <w:t>二、主要任务</w:t>
      </w:r>
    </w:p>
    <w:p w14:paraId="36C855D5">
      <w:pPr>
        <w:overflowPunct w:val="0"/>
        <w:topLinePunct/>
        <w:spacing w:after="0" w:line="580" w:lineRule="exact"/>
        <w:ind w:firstLine="640" w:firstLineChars="200"/>
        <w:jc w:val="both"/>
        <w:rPr>
          <w:rFonts w:eastAsia="楷体_GB2312"/>
          <w:b/>
          <w:bCs/>
          <w:sz w:val="32"/>
          <w:szCs w:val="32"/>
        </w:rPr>
      </w:pPr>
      <w:r>
        <w:rPr>
          <w:rFonts w:eastAsia="楷体_GB2312"/>
          <w:b/>
          <w:bCs/>
          <w:sz w:val="32"/>
          <w:szCs w:val="32"/>
        </w:rPr>
        <w:t>（一）提升城市绿色低碳发展水平</w:t>
      </w:r>
    </w:p>
    <w:p w14:paraId="49A81BF6">
      <w:pPr>
        <w:overflowPunct w:val="0"/>
        <w:topLinePunct/>
        <w:spacing w:after="0" w:line="580" w:lineRule="exact"/>
        <w:ind w:firstLine="640" w:firstLineChars="200"/>
        <w:jc w:val="both"/>
        <w:rPr>
          <w:rFonts w:eastAsia="仿宋_GB2312"/>
          <w:sz w:val="32"/>
          <w:szCs w:val="32"/>
        </w:rPr>
      </w:pPr>
      <w:r>
        <w:rPr>
          <w:rFonts w:eastAsia="仿宋_GB2312"/>
          <w:b/>
          <w:bCs/>
          <w:sz w:val="32"/>
          <w:szCs w:val="32"/>
        </w:rPr>
        <w:t>1</w:t>
      </w:r>
      <w:r>
        <w:rPr>
          <w:rFonts w:hint="eastAsia" w:eastAsia="仿宋_GB2312"/>
          <w:b/>
          <w:bCs/>
          <w:sz w:val="32"/>
          <w:szCs w:val="32"/>
        </w:rPr>
        <w:t>．</w:t>
      </w:r>
      <w:r>
        <w:rPr>
          <w:rFonts w:eastAsia="仿宋_GB2312"/>
          <w:b/>
          <w:bCs/>
          <w:sz w:val="32"/>
          <w:szCs w:val="32"/>
        </w:rPr>
        <w:t>优</w:t>
      </w:r>
      <w:r>
        <w:rPr>
          <w:rFonts w:hint="eastAsia" w:eastAsia="仿宋_GB2312"/>
          <w:b/>
          <w:bCs/>
          <w:sz w:val="32"/>
          <w:szCs w:val="32"/>
        </w:rPr>
        <w:t>化城市空间布局</w:t>
      </w:r>
      <w:r>
        <w:rPr>
          <w:rFonts w:hint="eastAsia" w:eastAsia="仿宋_GB2312"/>
          <w:b/>
          <w:sz w:val="32"/>
          <w:szCs w:val="32"/>
        </w:rPr>
        <w:t>。</w:t>
      </w:r>
      <w:r>
        <w:rPr>
          <w:rFonts w:hint="eastAsia" w:eastAsia="仿宋_GB2312"/>
          <w:sz w:val="32"/>
          <w:szCs w:val="32"/>
        </w:rPr>
        <w:t>强化国土空间规划约束指导作用，严格国土空间规划实施监督管理</w:t>
      </w:r>
      <w:r>
        <w:rPr>
          <w:rFonts w:hint="eastAsia" w:ascii="楷体_GB2312" w:eastAsia="楷体_GB2312"/>
          <w:sz w:val="32"/>
          <w:szCs w:val="32"/>
        </w:rPr>
        <w:t>（自然资源厅，逗号前为牵头指导单位，其他为配合单位，下同）</w:t>
      </w:r>
      <w:r>
        <w:rPr>
          <w:rFonts w:hint="eastAsia" w:eastAsia="仿宋_GB2312"/>
          <w:sz w:val="32"/>
          <w:szCs w:val="32"/>
        </w:rPr>
        <w:t>。结合城市更新、自然和历史文化资源保护利用需求，优化城市建设用地布局</w:t>
      </w:r>
      <w:r>
        <w:rPr>
          <w:rFonts w:hint="eastAsia" w:ascii="楷体_GB2312" w:eastAsia="楷体_GB2312"/>
          <w:sz w:val="32"/>
          <w:szCs w:val="32"/>
        </w:rPr>
        <w:t>（住房城乡</w:t>
      </w:r>
      <w:r>
        <w:rPr>
          <w:rFonts w:ascii="楷体_GB2312" w:eastAsia="楷体_GB2312"/>
          <w:sz w:val="32"/>
          <w:szCs w:val="32"/>
        </w:rPr>
        <w:t>建设厅</w:t>
      </w:r>
      <w:r>
        <w:rPr>
          <w:rFonts w:hint="eastAsia" w:ascii="楷体_GB2312" w:eastAsia="楷体_GB2312"/>
          <w:sz w:val="32"/>
          <w:szCs w:val="32"/>
        </w:rPr>
        <w:t>，</w:t>
      </w:r>
      <w:r>
        <w:rPr>
          <w:rFonts w:ascii="楷体_GB2312" w:eastAsia="楷体_GB2312"/>
          <w:sz w:val="32"/>
          <w:szCs w:val="32"/>
        </w:rPr>
        <w:t>自然资源厅</w:t>
      </w:r>
      <w:r>
        <w:rPr>
          <w:rFonts w:hint="eastAsia" w:ascii="楷体_GB2312" w:eastAsia="楷体_GB2312"/>
          <w:sz w:val="32"/>
          <w:szCs w:val="32"/>
        </w:rPr>
        <w:t>）</w:t>
      </w:r>
      <w:r>
        <w:rPr>
          <w:rFonts w:eastAsia="仿宋_GB2312"/>
          <w:sz w:val="32"/>
          <w:szCs w:val="32"/>
        </w:rPr>
        <w:t>。</w:t>
      </w:r>
      <w:r>
        <w:rPr>
          <w:rFonts w:hint="eastAsia" w:eastAsia="仿宋_GB2312"/>
          <w:sz w:val="32"/>
          <w:szCs w:val="32"/>
        </w:rPr>
        <w:t>全面实施分区域差异化精准管控，健全生态环境分区管控与国土空间</w:t>
      </w:r>
      <w:r>
        <w:rPr>
          <w:rFonts w:hint="eastAsia" w:ascii="仿宋_GB2312" w:eastAsia="仿宋_GB2312"/>
          <w:sz w:val="32"/>
          <w:szCs w:val="32"/>
        </w:rPr>
        <w:t>规划“一张图”协同</w:t>
      </w:r>
      <w:r>
        <w:rPr>
          <w:rFonts w:hint="eastAsia" w:eastAsia="仿宋_GB2312"/>
          <w:sz w:val="32"/>
          <w:szCs w:val="32"/>
        </w:rPr>
        <w:t>管控机制，引导产业优化布局</w:t>
      </w:r>
      <w:r>
        <w:rPr>
          <w:rFonts w:hint="eastAsia" w:ascii="楷体_GB2312" w:eastAsia="楷体_GB2312"/>
          <w:sz w:val="32"/>
          <w:szCs w:val="32"/>
        </w:rPr>
        <w:t>（自然资源厅、生态环境厅，省发展改革委、经济和信息化厅）</w:t>
      </w:r>
      <w:r>
        <w:rPr>
          <w:rFonts w:hint="eastAsia" w:eastAsia="仿宋_GB2312"/>
          <w:sz w:val="32"/>
          <w:szCs w:val="32"/>
        </w:rPr>
        <w:t>。衔接生态环境准入清单，落实空间布局约束要求，引导人口密度较高的中心城区传统产业功能空间有序腾退</w:t>
      </w:r>
      <w:r>
        <w:rPr>
          <w:rFonts w:hint="eastAsia" w:ascii="楷体_GB2312" w:eastAsia="楷体_GB2312"/>
          <w:sz w:val="32"/>
          <w:szCs w:val="32"/>
        </w:rPr>
        <w:t>（生态环境厅，经济和信息化厅、自然资源厅、</w:t>
      </w:r>
      <w:r>
        <w:rPr>
          <w:rFonts w:ascii="楷体_GB2312" w:eastAsia="楷体_GB2312"/>
          <w:sz w:val="32"/>
          <w:szCs w:val="32"/>
        </w:rPr>
        <w:t>住房城乡建设厅</w:t>
      </w:r>
      <w:r>
        <w:rPr>
          <w:rFonts w:hint="eastAsia" w:ascii="楷体_GB2312" w:eastAsia="楷体_GB2312"/>
          <w:sz w:val="32"/>
          <w:szCs w:val="32"/>
        </w:rPr>
        <w:t>）</w:t>
      </w:r>
      <w:r>
        <w:rPr>
          <w:rFonts w:hint="eastAsia" w:eastAsia="仿宋_GB2312"/>
          <w:sz w:val="32"/>
          <w:szCs w:val="32"/>
        </w:rPr>
        <w:t>。</w:t>
      </w:r>
    </w:p>
    <w:p w14:paraId="4E722B2B">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2</w:t>
      </w:r>
      <w:r>
        <w:rPr>
          <w:rFonts w:hint="eastAsia" w:eastAsia="仿宋_GB2312"/>
          <w:b/>
          <w:bCs/>
          <w:sz w:val="32"/>
          <w:szCs w:val="32"/>
        </w:rPr>
        <w:t>．</w:t>
      </w:r>
      <w:r>
        <w:rPr>
          <w:rFonts w:eastAsia="仿宋_GB2312"/>
          <w:b/>
          <w:bCs/>
          <w:sz w:val="32"/>
          <w:szCs w:val="32"/>
        </w:rPr>
        <w:t>推进</w:t>
      </w:r>
      <w:r>
        <w:rPr>
          <w:rFonts w:hint="eastAsia" w:eastAsia="仿宋_GB2312"/>
          <w:b/>
          <w:bCs/>
          <w:sz w:val="32"/>
          <w:szCs w:val="32"/>
        </w:rPr>
        <w:t>产业绿色低碳转型</w:t>
      </w:r>
      <w:r>
        <w:rPr>
          <w:rFonts w:hint="eastAsia" w:eastAsia="仿宋_GB2312"/>
          <w:b/>
          <w:sz w:val="32"/>
          <w:szCs w:val="32"/>
        </w:rPr>
        <w:t>。</w:t>
      </w:r>
      <w:r>
        <w:rPr>
          <w:rFonts w:hint="eastAsia" w:eastAsia="仿宋_GB2312"/>
          <w:sz w:val="32"/>
          <w:szCs w:val="32"/>
        </w:rPr>
        <w:t>深入实施绿色制造工程，加快重点行业绿色化智能化改造，积极培育绿色工厂、</w:t>
      </w:r>
      <w:r>
        <w:rPr>
          <w:rFonts w:eastAsia="仿宋_GB2312"/>
          <w:sz w:val="32"/>
          <w:szCs w:val="32"/>
        </w:rPr>
        <w:t>绿色工业园区、零碳工业园区</w:t>
      </w:r>
      <w:r>
        <w:rPr>
          <w:rFonts w:hint="eastAsia" w:eastAsia="仿宋_GB2312"/>
          <w:sz w:val="32"/>
          <w:szCs w:val="32"/>
        </w:rPr>
        <w:t>，打造绿色低碳供应链</w:t>
      </w:r>
      <w:r>
        <w:rPr>
          <w:rFonts w:hint="eastAsia" w:ascii="楷体_GB2312" w:eastAsia="楷体_GB2312"/>
          <w:sz w:val="32"/>
          <w:szCs w:val="32"/>
        </w:rPr>
        <w:t>（经济和信息化厅）</w:t>
      </w:r>
      <w:r>
        <w:rPr>
          <w:rFonts w:hint="eastAsia" w:eastAsia="仿宋_GB2312"/>
          <w:sz w:val="32"/>
          <w:szCs w:val="32"/>
        </w:rPr>
        <w:t>。推进遂宁安居经开区国家级减污降碳协同创新试点园区建设</w:t>
      </w:r>
      <w:r>
        <w:rPr>
          <w:rFonts w:hint="eastAsia" w:ascii="楷体_GB2312" w:eastAsia="楷体_GB2312"/>
          <w:sz w:val="32"/>
          <w:szCs w:val="32"/>
        </w:rPr>
        <w:t>（</w:t>
      </w:r>
      <w:r>
        <w:rPr>
          <w:rFonts w:ascii="楷体_GB2312" w:eastAsia="楷体_GB2312"/>
          <w:sz w:val="32"/>
          <w:szCs w:val="32"/>
        </w:rPr>
        <w:t>生态环境厅</w:t>
      </w:r>
      <w:r>
        <w:rPr>
          <w:rFonts w:hint="eastAsia" w:ascii="楷体_GB2312" w:eastAsia="楷体_GB2312"/>
          <w:sz w:val="32"/>
          <w:szCs w:val="32"/>
        </w:rPr>
        <w:t>）</w:t>
      </w:r>
      <w:r>
        <w:rPr>
          <w:rFonts w:hint="eastAsia" w:eastAsia="仿宋_GB2312"/>
          <w:sz w:val="32"/>
          <w:szCs w:val="32"/>
        </w:rPr>
        <w:t>，支持宜宾建设生态优先绿色低碳发展先行区</w:t>
      </w:r>
      <w:r>
        <w:rPr>
          <w:rFonts w:hint="eastAsia" w:ascii="楷体_GB2312" w:eastAsia="楷体_GB2312"/>
          <w:sz w:val="32"/>
          <w:szCs w:val="32"/>
        </w:rPr>
        <w:t>（省发展</w:t>
      </w:r>
      <w:r>
        <w:rPr>
          <w:rFonts w:ascii="楷体_GB2312" w:eastAsia="楷体_GB2312"/>
          <w:sz w:val="32"/>
          <w:szCs w:val="32"/>
        </w:rPr>
        <w:t>改革委</w:t>
      </w:r>
      <w:r>
        <w:rPr>
          <w:rFonts w:hint="eastAsia" w:ascii="楷体_GB2312" w:eastAsia="楷体_GB2312"/>
          <w:sz w:val="32"/>
          <w:szCs w:val="32"/>
        </w:rPr>
        <w:t>）</w:t>
      </w:r>
      <w:r>
        <w:rPr>
          <w:rFonts w:hint="eastAsia" w:eastAsia="仿宋_GB2312"/>
          <w:sz w:val="32"/>
          <w:szCs w:val="32"/>
        </w:rPr>
        <w:t>。推动节能环保服务、绿色金融、绿色物流等重点行业发展，鼓励商场、餐饮业、会展业绿色低碳发展</w:t>
      </w:r>
      <w:r>
        <w:rPr>
          <w:rFonts w:hint="eastAsia" w:ascii="楷体_GB2312" w:eastAsia="楷体_GB2312"/>
          <w:sz w:val="32"/>
          <w:szCs w:val="32"/>
        </w:rPr>
        <w:t>（商务厅，</w:t>
      </w:r>
      <w:r>
        <w:rPr>
          <w:rFonts w:ascii="楷体_GB2312" w:eastAsia="楷体_GB2312"/>
          <w:sz w:val="32"/>
          <w:szCs w:val="32"/>
        </w:rPr>
        <w:t>人行四川省分行</w:t>
      </w:r>
      <w:r>
        <w:rPr>
          <w:rFonts w:hint="eastAsia" w:ascii="楷体_GB2312" w:eastAsia="楷体_GB2312"/>
          <w:sz w:val="32"/>
          <w:szCs w:val="32"/>
        </w:rPr>
        <w:t>）</w:t>
      </w:r>
      <w:r>
        <w:rPr>
          <w:rFonts w:hint="eastAsia" w:eastAsia="仿宋_GB2312"/>
          <w:sz w:val="32"/>
          <w:szCs w:val="32"/>
        </w:rPr>
        <w:t>。系统布局高端环保装备制造产业链，重点发展绿色低碳替代材料与产品，以及模块化、精准化的高级治理技术装备，构建具有全国竞争力的绿色低碳产业集群</w:t>
      </w:r>
      <w:r>
        <w:rPr>
          <w:rFonts w:hint="eastAsia" w:ascii="楷体_GB2312" w:eastAsia="楷体_GB2312"/>
          <w:sz w:val="32"/>
          <w:szCs w:val="32"/>
        </w:rPr>
        <w:t>（生态环境厅，经济和信息化厅）</w:t>
      </w:r>
      <w:r>
        <w:rPr>
          <w:rFonts w:hint="eastAsia" w:eastAsia="仿宋_GB2312"/>
          <w:sz w:val="32"/>
          <w:szCs w:val="32"/>
        </w:rPr>
        <w:t>。支持因地制宜发展新能源产业，培育壮大成乐眉宜光伏产业带、成德高端能源装备先进制造业集群、成德自攀氢能产业集群</w:t>
      </w:r>
      <w:r>
        <w:rPr>
          <w:rFonts w:hint="eastAsia" w:ascii="楷体_GB2312" w:eastAsia="楷体_GB2312"/>
          <w:sz w:val="32"/>
          <w:szCs w:val="32"/>
        </w:rPr>
        <w:t>（</w:t>
      </w:r>
      <w:r>
        <w:rPr>
          <w:rFonts w:ascii="楷体_GB2312" w:eastAsia="楷体_GB2312"/>
          <w:sz w:val="32"/>
          <w:szCs w:val="32"/>
        </w:rPr>
        <w:t>经济和信息化厅</w:t>
      </w:r>
      <w:r>
        <w:rPr>
          <w:rFonts w:hint="eastAsia" w:ascii="楷体_GB2312" w:eastAsia="楷体_GB2312"/>
          <w:sz w:val="32"/>
          <w:szCs w:val="32"/>
        </w:rPr>
        <w:t>）</w:t>
      </w:r>
      <w:r>
        <w:rPr>
          <w:rFonts w:hint="eastAsia" w:eastAsia="仿宋_GB2312"/>
          <w:sz w:val="32"/>
          <w:szCs w:val="32"/>
        </w:rPr>
        <w:t>。推动科技创新和产业创新深度融合，推进西部（成都）科学城、中国（绵阳）科技城建设</w:t>
      </w:r>
      <w:r>
        <w:rPr>
          <w:rFonts w:hint="eastAsia" w:ascii="楷体_GB2312" w:eastAsia="楷体_GB2312"/>
          <w:sz w:val="32"/>
          <w:szCs w:val="32"/>
        </w:rPr>
        <w:t>（科技厅）</w:t>
      </w:r>
      <w:r>
        <w:rPr>
          <w:rFonts w:hint="eastAsia" w:eastAsia="仿宋_GB2312"/>
          <w:sz w:val="32"/>
          <w:szCs w:val="32"/>
        </w:rPr>
        <w:t>，加快成渝兴隆湖综合性科技中心重大科技基础设施建设</w:t>
      </w:r>
      <w:r>
        <w:rPr>
          <w:rFonts w:hint="eastAsia" w:ascii="楷体_GB2312" w:eastAsia="楷体_GB2312"/>
          <w:sz w:val="32"/>
          <w:szCs w:val="32"/>
        </w:rPr>
        <w:t>（省发展改革委）</w:t>
      </w:r>
      <w:r>
        <w:rPr>
          <w:rFonts w:hint="eastAsia" w:eastAsia="仿宋_GB2312"/>
          <w:sz w:val="32"/>
          <w:szCs w:val="32"/>
        </w:rPr>
        <w:t>。</w:t>
      </w:r>
    </w:p>
    <w:p w14:paraId="1D6438E5">
      <w:pPr>
        <w:overflowPunct w:val="0"/>
        <w:topLinePunct/>
        <w:spacing w:after="0" w:line="620" w:lineRule="exact"/>
        <w:ind w:firstLine="640" w:firstLineChars="200"/>
        <w:jc w:val="both"/>
        <w:rPr>
          <w:rFonts w:eastAsia="仿宋_GB2312"/>
          <w:sz w:val="32"/>
          <w:szCs w:val="32"/>
        </w:rPr>
      </w:pPr>
      <w:r>
        <w:rPr>
          <w:rFonts w:eastAsia="仿宋_GB2312"/>
          <w:b/>
          <w:bCs/>
          <w:sz w:val="32"/>
          <w:szCs w:val="32"/>
        </w:rPr>
        <w:t>3</w:t>
      </w:r>
      <w:r>
        <w:rPr>
          <w:rFonts w:hint="eastAsia" w:eastAsia="仿宋_GB2312"/>
          <w:b/>
          <w:bCs/>
          <w:sz w:val="32"/>
          <w:szCs w:val="32"/>
        </w:rPr>
        <w:t>．</w:t>
      </w:r>
      <w:r>
        <w:rPr>
          <w:rFonts w:eastAsia="仿宋_GB2312"/>
          <w:b/>
          <w:bCs/>
          <w:sz w:val="32"/>
          <w:szCs w:val="32"/>
        </w:rPr>
        <w:t>大力发展绿色交通</w:t>
      </w:r>
      <w:r>
        <w:rPr>
          <w:rFonts w:eastAsia="仿宋_GB2312"/>
          <w:b/>
          <w:sz w:val="32"/>
          <w:szCs w:val="32"/>
        </w:rPr>
        <w:t>。</w:t>
      </w:r>
      <w:r>
        <w:rPr>
          <w:rFonts w:eastAsia="仿宋_GB2312"/>
          <w:sz w:val="32"/>
          <w:szCs w:val="32"/>
        </w:rPr>
        <w:t>实施既有交通基础设施节能低碳改造提升</w:t>
      </w:r>
      <w:r>
        <w:rPr>
          <w:rFonts w:hint="eastAsia" w:ascii="楷体_GB2312" w:eastAsia="楷体_GB2312"/>
          <w:sz w:val="32"/>
          <w:szCs w:val="32"/>
        </w:rPr>
        <w:t>（交通运输厅）</w:t>
      </w:r>
      <w:r>
        <w:rPr>
          <w:rFonts w:eastAsia="仿宋_GB2312"/>
          <w:sz w:val="32"/>
          <w:szCs w:val="32"/>
        </w:rPr>
        <w:t>，完善充（换）电站、加氢站等</w:t>
      </w:r>
      <w:r>
        <w:rPr>
          <w:rFonts w:hint="eastAsia" w:eastAsia="仿宋_GB2312"/>
          <w:sz w:val="32"/>
          <w:szCs w:val="32"/>
        </w:rPr>
        <w:t>新能源</w:t>
      </w:r>
      <w:r>
        <w:rPr>
          <w:rFonts w:eastAsia="仿宋_GB2312"/>
          <w:sz w:val="32"/>
          <w:szCs w:val="32"/>
        </w:rPr>
        <w:t>基础设施网络</w:t>
      </w:r>
      <w:r>
        <w:rPr>
          <w:rFonts w:hint="eastAsia" w:ascii="宋体" w:hAnsi="宋体"/>
          <w:sz w:val="32"/>
          <w:szCs w:val="32"/>
        </w:rPr>
        <w:t>﹝</w:t>
      </w:r>
      <w:r>
        <w:rPr>
          <w:rFonts w:hint="eastAsia" w:ascii="楷体_GB2312" w:eastAsia="楷体_GB2312"/>
          <w:sz w:val="32"/>
          <w:szCs w:val="32"/>
        </w:rPr>
        <w:t>省</w:t>
      </w:r>
      <w:r>
        <w:rPr>
          <w:rFonts w:ascii="楷体_GB2312" w:eastAsia="楷体_GB2312"/>
          <w:sz w:val="32"/>
          <w:szCs w:val="32"/>
        </w:rPr>
        <w:t>发展改革委（</w:t>
      </w:r>
      <w:r>
        <w:rPr>
          <w:rFonts w:hint="eastAsia" w:ascii="楷体_GB2312" w:eastAsia="楷体_GB2312"/>
          <w:sz w:val="32"/>
          <w:szCs w:val="32"/>
        </w:rPr>
        <w:t>省能源局</w:t>
      </w:r>
      <w:r>
        <w:rPr>
          <w:rFonts w:ascii="楷体_GB2312" w:eastAsia="楷体_GB2312"/>
          <w:sz w:val="32"/>
          <w:szCs w:val="32"/>
        </w:rPr>
        <w:t>）</w:t>
      </w:r>
      <w:r>
        <w:rPr>
          <w:rFonts w:hint="eastAsia" w:ascii="宋体" w:hAnsi="宋体"/>
          <w:sz w:val="32"/>
          <w:szCs w:val="32"/>
        </w:rPr>
        <w:t>﹞</w:t>
      </w:r>
      <w:r>
        <w:rPr>
          <w:rFonts w:eastAsia="仿宋_GB2312"/>
          <w:sz w:val="32"/>
          <w:szCs w:val="32"/>
        </w:rPr>
        <w:t>。鼓励探索零排放货运走廊建设，支持成德眉资联动打造交通领域氢能示范应用场景</w:t>
      </w:r>
      <w:r>
        <w:rPr>
          <w:rFonts w:hint="eastAsia" w:ascii="楷体_GB2312" w:eastAsia="楷体_GB2312"/>
          <w:sz w:val="32"/>
          <w:szCs w:val="32"/>
        </w:rPr>
        <w:t>（交通运输厅）</w:t>
      </w:r>
      <w:r>
        <w:rPr>
          <w:rFonts w:eastAsia="仿宋_GB2312"/>
          <w:sz w:val="32"/>
          <w:szCs w:val="32"/>
        </w:rPr>
        <w:t>。</w:t>
      </w:r>
      <w:r>
        <w:rPr>
          <w:rFonts w:eastAsia="仿宋_GB2312"/>
          <w:bCs/>
          <w:sz w:val="32"/>
          <w:szCs w:val="32"/>
        </w:rPr>
        <w:t>加快淘汰老旧汽车和</w:t>
      </w:r>
      <w:r>
        <w:rPr>
          <w:rFonts w:hint="eastAsia" w:eastAsia="仿宋_GB2312"/>
          <w:bCs/>
          <w:sz w:val="32"/>
          <w:szCs w:val="32"/>
        </w:rPr>
        <w:t>老旧非</w:t>
      </w:r>
      <w:r>
        <w:rPr>
          <w:rFonts w:eastAsia="仿宋_GB2312"/>
          <w:bCs/>
          <w:sz w:val="32"/>
          <w:szCs w:val="32"/>
        </w:rPr>
        <w:t>道路</w:t>
      </w:r>
      <w:r>
        <w:rPr>
          <w:rFonts w:hint="eastAsia" w:eastAsia="仿宋_GB2312"/>
          <w:bCs/>
          <w:sz w:val="32"/>
          <w:szCs w:val="32"/>
        </w:rPr>
        <w:t>移动机械</w:t>
      </w:r>
      <w:r>
        <w:rPr>
          <w:rFonts w:hint="eastAsia" w:ascii="楷体_GB2312" w:eastAsia="楷体_GB2312"/>
          <w:sz w:val="32"/>
          <w:szCs w:val="32"/>
        </w:rPr>
        <w:t>（</w:t>
      </w:r>
      <w:r>
        <w:rPr>
          <w:rFonts w:ascii="楷体_GB2312" w:eastAsia="楷体_GB2312"/>
          <w:sz w:val="32"/>
          <w:szCs w:val="32"/>
        </w:rPr>
        <w:t>生态环境厅</w:t>
      </w:r>
      <w:r>
        <w:rPr>
          <w:rFonts w:hint="eastAsia" w:ascii="楷体_GB2312" w:eastAsia="楷体_GB2312"/>
          <w:sz w:val="32"/>
          <w:szCs w:val="32"/>
        </w:rPr>
        <w:t>、公安厅）</w:t>
      </w:r>
      <w:r>
        <w:rPr>
          <w:rFonts w:eastAsia="仿宋_GB2312"/>
          <w:bCs/>
          <w:sz w:val="32"/>
          <w:szCs w:val="32"/>
        </w:rPr>
        <w:t>，推动新能源汽车在城市公共交通、物流</w:t>
      </w:r>
      <w:r>
        <w:rPr>
          <w:rFonts w:hint="eastAsia" w:eastAsia="仿宋_GB2312"/>
          <w:bCs/>
          <w:sz w:val="32"/>
          <w:szCs w:val="32"/>
        </w:rPr>
        <w:t>、</w:t>
      </w:r>
      <w:r>
        <w:rPr>
          <w:rFonts w:eastAsia="仿宋_GB2312"/>
          <w:bCs/>
          <w:sz w:val="32"/>
          <w:szCs w:val="32"/>
        </w:rPr>
        <w:t>环卫等领域应用</w:t>
      </w:r>
      <w:r>
        <w:rPr>
          <w:rFonts w:hint="eastAsia" w:ascii="楷体_GB2312" w:eastAsia="楷体_GB2312"/>
          <w:sz w:val="32"/>
          <w:szCs w:val="32"/>
        </w:rPr>
        <w:t>（</w:t>
      </w:r>
      <w:r>
        <w:rPr>
          <w:rFonts w:ascii="楷体_GB2312" w:eastAsia="楷体_GB2312"/>
          <w:sz w:val="32"/>
          <w:szCs w:val="32"/>
        </w:rPr>
        <w:t>交通运输厅</w:t>
      </w:r>
      <w:r>
        <w:rPr>
          <w:rFonts w:hint="eastAsia" w:ascii="楷体_GB2312" w:eastAsia="楷体_GB2312"/>
          <w:sz w:val="32"/>
          <w:szCs w:val="32"/>
        </w:rPr>
        <w:t>）</w:t>
      </w:r>
      <w:r>
        <w:rPr>
          <w:rFonts w:eastAsia="仿宋_GB2312"/>
          <w:sz w:val="32"/>
          <w:szCs w:val="32"/>
        </w:rPr>
        <w:t>。完善绿色出行服务体系，建设公交优先设施，打造高品质、安全友好的慢行环境</w:t>
      </w:r>
      <w:r>
        <w:rPr>
          <w:rFonts w:hint="eastAsia" w:ascii="楷体_GB2312" w:eastAsia="楷体_GB2312"/>
          <w:sz w:val="32"/>
          <w:szCs w:val="32"/>
        </w:rPr>
        <w:t>（交通运输厅，</w:t>
      </w:r>
      <w:r>
        <w:rPr>
          <w:rFonts w:ascii="楷体_GB2312" w:eastAsia="楷体_GB2312"/>
          <w:sz w:val="32"/>
          <w:szCs w:val="32"/>
        </w:rPr>
        <w:t>住房</w:t>
      </w:r>
      <w:r>
        <w:rPr>
          <w:rFonts w:hint="eastAsia" w:ascii="楷体_GB2312" w:eastAsia="楷体_GB2312"/>
          <w:sz w:val="32"/>
          <w:szCs w:val="32"/>
        </w:rPr>
        <w:t>城乡</w:t>
      </w:r>
      <w:r>
        <w:rPr>
          <w:rFonts w:ascii="楷体_GB2312" w:eastAsia="楷体_GB2312"/>
          <w:sz w:val="32"/>
          <w:szCs w:val="32"/>
        </w:rPr>
        <w:t>建设厅</w:t>
      </w:r>
      <w:r>
        <w:rPr>
          <w:rFonts w:hint="eastAsia" w:ascii="楷体_GB2312" w:eastAsia="楷体_GB2312"/>
          <w:sz w:val="32"/>
          <w:szCs w:val="32"/>
        </w:rPr>
        <w:t>）</w:t>
      </w:r>
      <w:r>
        <w:rPr>
          <w:rFonts w:eastAsia="仿宋_GB2312"/>
          <w:sz w:val="32"/>
          <w:szCs w:val="32"/>
        </w:rPr>
        <w:t>。</w:t>
      </w:r>
    </w:p>
    <w:p w14:paraId="02762BBB">
      <w:pPr>
        <w:overflowPunct w:val="0"/>
        <w:topLinePunct/>
        <w:spacing w:after="0" w:line="620" w:lineRule="exact"/>
        <w:ind w:firstLine="640" w:firstLineChars="200"/>
        <w:jc w:val="both"/>
        <w:rPr>
          <w:rFonts w:eastAsia="仿宋_GB2312"/>
          <w:sz w:val="32"/>
          <w:szCs w:val="32"/>
        </w:rPr>
      </w:pPr>
      <w:r>
        <w:rPr>
          <w:rFonts w:eastAsia="仿宋_GB2312"/>
          <w:b/>
          <w:bCs/>
          <w:sz w:val="32"/>
          <w:szCs w:val="32"/>
        </w:rPr>
        <w:t>4</w:t>
      </w:r>
      <w:r>
        <w:rPr>
          <w:rFonts w:hint="eastAsia" w:eastAsia="仿宋_GB2312"/>
          <w:b/>
          <w:bCs/>
          <w:sz w:val="32"/>
          <w:szCs w:val="32"/>
        </w:rPr>
        <w:t>．</w:t>
      </w:r>
      <w:r>
        <w:rPr>
          <w:rFonts w:eastAsia="仿宋_GB2312"/>
          <w:b/>
          <w:bCs/>
          <w:sz w:val="32"/>
          <w:szCs w:val="32"/>
        </w:rPr>
        <w:t>推进建筑领域绿色低碳转型</w:t>
      </w:r>
      <w:r>
        <w:rPr>
          <w:rFonts w:eastAsia="仿宋_GB2312"/>
          <w:b/>
          <w:sz w:val="32"/>
          <w:szCs w:val="32"/>
        </w:rPr>
        <w:t>。</w:t>
      </w:r>
      <w:r>
        <w:rPr>
          <w:rFonts w:eastAsia="仿宋_GB2312"/>
          <w:sz w:val="32"/>
          <w:szCs w:val="32"/>
        </w:rPr>
        <w:t>推进既有建筑</w:t>
      </w:r>
      <w:r>
        <w:rPr>
          <w:rFonts w:hint="eastAsia" w:eastAsia="仿宋_GB2312"/>
          <w:sz w:val="32"/>
          <w:szCs w:val="32"/>
        </w:rPr>
        <w:t>绿色化</w:t>
      </w:r>
      <w:r>
        <w:rPr>
          <w:rFonts w:eastAsia="仿宋_GB2312"/>
          <w:sz w:val="32"/>
          <w:szCs w:val="32"/>
        </w:rPr>
        <w:t>改造，鼓励开展超低能耗建筑建设。持续推动建筑用能结构优化，支持</w:t>
      </w:r>
      <w:r>
        <w:rPr>
          <w:rFonts w:hint="eastAsia" w:eastAsia="仿宋_GB2312"/>
          <w:sz w:val="32"/>
          <w:szCs w:val="32"/>
        </w:rPr>
        <w:t>可再生能源</w:t>
      </w:r>
      <w:r>
        <w:rPr>
          <w:rFonts w:eastAsia="仿宋_GB2312"/>
          <w:sz w:val="32"/>
          <w:szCs w:val="32"/>
        </w:rPr>
        <w:t>应用，鼓励凉山、攀枝花推动工业厂房、公共建筑</w:t>
      </w:r>
      <w:r>
        <w:rPr>
          <w:rFonts w:hint="eastAsia" w:eastAsia="仿宋_GB2312"/>
          <w:sz w:val="32"/>
          <w:szCs w:val="32"/>
        </w:rPr>
        <w:t>等</w:t>
      </w:r>
      <w:r>
        <w:rPr>
          <w:rFonts w:eastAsia="仿宋_GB2312"/>
          <w:sz w:val="32"/>
          <w:szCs w:val="32"/>
        </w:rPr>
        <w:t>新建建筑光伏一体化建设。推进工程建设全过程绿色建造，推广应用绿色建材和高效节能低碳设备。</w:t>
      </w:r>
      <w:r>
        <w:rPr>
          <w:rFonts w:hint="eastAsia" w:eastAsia="仿宋_GB2312"/>
          <w:sz w:val="32"/>
          <w:szCs w:val="32"/>
        </w:rPr>
        <w:t>持续开展绿色建筑创建行动，城镇新建建筑全面执行绿色建筑标准</w:t>
      </w:r>
      <w:r>
        <w:rPr>
          <w:rFonts w:hint="eastAsia" w:ascii="楷体_GB2312" w:eastAsia="楷体_GB2312"/>
          <w:sz w:val="32"/>
          <w:szCs w:val="32"/>
        </w:rPr>
        <w:t>（住房城乡建设厅）</w:t>
      </w:r>
      <w:r>
        <w:rPr>
          <w:rFonts w:eastAsia="仿宋_GB2312"/>
          <w:sz w:val="32"/>
          <w:szCs w:val="32"/>
        </w:rPr>
        <w:t>。</w:t>
      </w:r>
    </w:p>
    <w:p w14:paraId="232863DC">
      <w:pPr>
        <w:overflowPunct w:val="0"/>
        <w:topLinePunct/>
        <w:spacing w:after="0" w:line="600" w:lineRule="exact"/>
        <w:ind w:firstLine="640" w:firstLineChars="200"/>
        <w:jc w:val="both"/>
        <w:rPr>
          <w:rFonts w:eastAsia="楷体_GB2312"/>
          <w:b/>
          <w:bCs/>
          <w:sz w:val="32"/>
          <w:szCs w:val="32"/>
        </w:rPr>
      </w:pPr>
      <w:r>
        <w:rPr>
          <w:rFonts w:eastAsia="楷体_GB2312"/>
          <w:b/>
          <w:bCs/>
          <w:sz w:val="32"/>
          <w:szCs w:val="32"/>
        </w:rPr>
        <w:t>（二）提升城市生态环境质量</w:t>
      </w:r>
    </w:p>
    <w:p w14:paraId="1A7DCB42">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1</w:t>
      </w:r>
      <w:r>
        <w:rPr>
          <w:rFonts w:hint="eastAsia" w:eastAsia="仿宋_GB2312"/>
          <w:b/>
          <w:bCs/>
          <w:sz w:val="32"/>
          <w:szCs w:val="32"/>
        </w:rPr>
        <w:t>．</w:t>
      </w:r>
      <w:r>
        <w:rPr>
          <w:rFonts w:eastAsia="仿宋_GB2312"/>
          <w:b/>
          <w:bCs/>
          <w:sz w:val="32"/>
          <w:szCs w:val="32"/>
        </w:rPr>
        <w:t>深入推进污染防治。</w:t>
      </w:r>
      <w:r>
        <w:rPr>
          <w:rFonts w:hint="eastAsia" w:eastAsia="仿宋_GB2312"/>
          <w:bCs/>
          <w:sz w:val="32"/>
          <w:szCs w:val="32"/>
          <w:lang w:bidi="ar"/>
        </w:rPr>
        <w:t>持续改善空气质量，到2027年，地级及以上城市细颗粒物平均浓度全部达到现行标准</w:t>
      </w:r>
      <w:r>
        <w:rPr>
          <w:rFonts w:hint="eastAsia" w:ascii="楷体_GB2312" w:eastAsia="楷体_GB2312"/>
          <w:sz w:val="32"/>
          <w:szCs w:val="32"/>
        </w:rPr>
        <w:t>（生态环境厅）</w:t>
      </w:r>
      <w:r>
        <w:rPr>
          <w:rFonts w:eastAsia="仿宋_GB2312"/>
          <w:bCs/>
          <w:sz w:val="32"/>
          <w:szCs w:val="32"/>
          <w:lang w:bidi="ar"/>
        </w:rPr>
        <w:t>。</w:t>
      </w:r>
      <w:r>
        <w:rPr>
          <w:rFonts w:eastAsia="仿宋_GB2312"/>
          <w:bCs/>
          <w:sz w:val="32"/>
          <w:szCs w:val="32"/>
        </w:rPr>
        <w:t>推进美丽幸福河湖建设，实施城区水域岸线保护修复、水系联通整治、河湖清洁美丽等行动，动态排查治理城市黑臭水体。</w:t>
      </w:r>
      <w:r>
        <w:rPr>
          <w:rFonts w:hint="eastAsia" w:eastAsia="仿宋_GB2312"/>
          <w:bCs/>
          <w:sz w:val="32"/>
          <w:szCs w:val="32"/>
        </w:rPr>
        <w:t>到2027年，美丽河湖建成率达40%、幸福河湖建成135条</w:t>
      </w:r>
      <w:r>
        <w:rPr>
          <w:rFonts w:hint="eastAsia" w:ascii="楷体_GB2312" w:eastAsia="楷体_GB2312"/>
          <w:sz w:val="32"/>
          <w:szCs w:val="32"/>
        </w:rPr>
        <w:t>（生态环境厅、住房城乡建设厅</w:t>
      </w:r>
      <w:r>
        <w:rPr>
          <w:rFonts w:ascii="楷体_GB2312" w:eastAsia="楷体_GB2312"/>
          <w:sz w:val="32"/>
          <w:szCs w:val="32"/>
        </w:rPr>
        <w:t>、水利厅</w:t>
      </w:r>
      <w:r>
        <w:rPr>
          <w:rFonts w:hint="eastAsia" w:ascii="楷体_GB2312" w:eastAsia="楷体_GB2312"/>
          <w:sz w:val="32"/>
          <w:szCs w:val="32"/>
        </w:rPr>
        <w:t>）</w:t>
      </w:r>
      <w:r>
        <w:rPr>
          <w:rFonts w:hint="eastAsia" w:eastAsia="仿宋_GB2312"/>
          <w:bCs/>
          <w:sz w:val="32"/>
          <w:szCs w:val="32"/>
        </w:rPr>
        <w:t>。</w:t>
      </w:r>
      <w:r>
        <w:rPr>
          <w:rFonts w:hint="eastAsia" w:eastAsia="仿宋_GB2312"/>
          <w:sz w:val="32"/>
          <w:szCs w:val="32"/>
        </w:rPr>
        <w:t>依法合理规划受污染建设用地用途，鼓励优先用于拓展生态空间，推动污染地块绿色低碳修复</w:t>
      </w:r>
      <w:r>
        <w:rPr>
          <w:rFonts w:hint="eastAsia" w:ascii="楷体_GB2312" w:eastAsia="楷体_GB2312"/>
          <w:sz w:val="32"/>
          <w:szCs w:val="32"/>
        </w:rPr>
        <w:t>（自然资源厅、生态环境厅）</w:t>
      </w:r>
      <w:r>
        <w:rPr>
          <w:rFonts w:hint="eastAsia" w:eastAsia="仿宋_GB2312"/>
          <w:bCs/>
          <w:sz w:val="32"/>
          <w:szCs w:val="32"/>
        </w:rPr>
        <w:t>。</w:t>
      </w:r>
    </w:p>
    <w:p w14:paraId="2E7A8914">
      <w:pPr>
        <w:overflowPunct w:val="0"/>
        <w:topLinePunct/>
        <w:spacing w:after="0" w:line="600" w:lineRule="exact"/>
        <w:ind w:firstLine="640" w:firstLineChars="200"/>
        <w:jc w:val="both"/>
        <w:rPr>
          <w:rFonts w:eastAsia="仿宋_GB2312"/>
          <w:bCs/>
          <w:sz w:val="32"/>
          <w:szCs w:val="32"/>
        </w:rPr>
      </w:pPr>
      <w:r>
        <w:rPr>
          <w:rFonts w:eastAsia="仿宋_GB2312"/>
          <w:b/>
          <w:bCs/>
          <w:sz w:val="32"/>
          <w:szCs w:val="32"/>
        </w:rPr>
        <w:t>2</w:t>
      </w:r>
      <w:r>
        <w:rPr>
          <w:rFonts w:hint="eastAsia" w:eastAsia="仿宋_GB2312"/>
          <w:b/>
          <w:bCs/>
          <w:sz w:val="32"/>
          <w:szCs w:val="32"/>
        </w:rPr>
        <w:t>．</w:t>
      </w:r>
      <w:r>
        <w:rPr>
          <w:rFonts w:eastAsia="仿宋_GB2312"/>
          <w:b/>
          <w:bCs/>
          <w:sz w:val="32"/>
          <w:szCs w:val="32"/>
        </w:rPr>
        <w:t>解决群众身边突出环境问题。</w:t>
      </w:r>
      <w:r>
        <w:rPr>
          <w:rFonts w:eastAsia="仿宋_GB2312"/>
          <w:sz w:val="32"/>
          <w:szCs w:val="32"/>
        </w:rPr>
        <w:t>开展餐饮油烟、恶臭异味治理，</w:t>
      </w:r>
      <w:r>
        <w:rPr>
          <w:rFonts w:hint="eastAsia" w:eastAsia="仿宋_GB2312"/>
          <w:sz w:val="32"/>
          <w:szCs w:val="32"/>
        </w:rPr>
        <w:t>鼓励</w:t>
      </w:r>
      <w:r>
        <w:rPr>
          <w:rFonts w:eastAsia="仿宋_GB2312"/>
          <w:sz w:val="32"/>
          <w:szCs w:val="32"/>
        </w:rPr>
        <w:t>成都</w:t>
      </w:r>
      <w:r>
        <w:rPr>
          <w:rFonts w:hint="eastAsia" w:eastAsia="仿宋_GB2312"/>
          <w:sz w:val="32"/>
          <w:szCs w:val="32"/>
        </w:rPr>
        <w:t>、自贡</w:t>
      </w:r>
      <w:r>
        <w:rPr>
          <w:rFonts w:eastAsia="仿宋_GB2312"/>
          <w:sz w:val="32"/>
          <w:szCs w:val="32"/>
        </w:rPr>
        <w:t>等有条件的地区实施第三方运维管理</w:t>
      </w:r>
      <w:r>
        <w:rPr>
          <w:rFonts w:hint="eastAsia" w:ascii="楷体_GB2312" w:eastAsia="楷体_GB2312"/>
          <w:sz w:val="32"/>
          <w:szCs w:val="32"/>
        </w:rPr>
        <w:t>（生态环境厅</w:t>
      </w:r>
      <w:r>
        <w:rPr>
          <w:rFonts w:ascii="楷体_GB2312" w:eastAsia="楷体_GB2312"/>
          <w:sz w:val="32"/>
          <w:szCs w:val="32"/>
        </w:rPr>
        <w:t>、</w:t>
      </w:r>
      <w:r>
        <w:rPr>
          <w:rFonts w:hint="eastAsia" w:ascii="楷体_GB2312" w:eastAsia="楷体_GB2312"/>
          <w:sz w:val="32"/>
          <w:szCs w:val="32"/>
        </w:rPr>
        <w:t>住房城乡建设厅）</w:t>
      </w:r>
      <w:r>
        <w:rPr>
          <w:rFonts w:eastAsia="仿宋_GB2312"/>
          <w:sz w:val="32"/>
          <w:szCs w:val="32"/>
        </w:rPr>
        <w:t>。</w:t>
      </w:r>
      <w:r>
        <w:rPr>
          <w:rFonts w:hint="eastAsia" w:eastAsia="仿宋_GB2312"/>
          <w:sz w:val="32"/>
          <w:szCs w:val="32"/>
        </w:rPr>
        <w:t>加强</w:t>
      </w:r>
      <w:r>
        <w:rPr>
          <w:rFonts w:eastAsia="仿宋_GB2312"/>
          <w:bCs/>
          <w:sz w:val="32"/>
          <w:szCs w:val="32"/>
        </w:rPr>
        <w:t>扬尘污染治理，推进智慧工地建设，重点城市建立</w:t>
      </w:r>
      <w:r>
        <w:rPr>
          <w:rFonts w:hint="eastAsia" w:eastAsia="仿宋_GB2312"/>
          <w:bCs/>
          <w:sz w:val="32"/>
          <w:szCs w:val="32"/>
        </w:rPr>
        <w:t>扬尘监测监管体系</w:t>
      </w:r>
      <w:r>
        <w:rPr>
          <w:rFonts w:hint="eastAsia" w:ascii="楷体_GB2312" w:eastAsia="楷体_GB2312"/>
          <w:sz w:val="32"/>
          <w:szCs w:val="32"/>
        </w:rPr>
        <w:t>（住房城乡建设厅）</w:t>
      </w:r>
      <w:r>
        <w:rPr>
          <w:rFonts w:eastAsia="仿宋_GB2312"/>
          <w:sz w:val="32"/>
          <w:szCs w:val="32"/>
        </w:rPr>
        <w:t>。持续实施噪声污染防治行动。</w:t>
      </w:r>
      <w:r>
        <w:rPr>
          <w:rFonts w:eastAsia="仿宋_GB2312"/>
          <w:bCs/>
          <w:sz w:val="32"/>
          <w:szCs w:val="32"/>
        </w:rPr>
        <w:t>到2027年，城市声环境功能区夜间达标率达到85%</w:t>
      </w:r>
      <w:r>
        <w:rPr>
          <w:rFonts w:hint="eastAsia" w:ascii="楷体_GB2312" w:eastAsia="楷体_GB2312"/>
          <w:sz w:val="32"/>
          <w:szCs w:val="32"/>
        </w:rPr>
        <w:t>（生态环境厅）</w:t>
      </w:r>
      <w:r>
        <w:rPr>
          <w:rFonts w:eastAsia="仿宋_GB2312"/>
          <w:bCs/>
          <w:sz w:val="32"/>
          <w:szCs w:val="32"/>
        </w:rPr>
        <w:t>。</w:t>
      </w:r>
    </w:p>
    <w:p w14:paraId="414B93FF">
      <w:pPr>
        <w:overflowPunct w:val="0"/>
        <w:topLinePunct/>
        <w:spacing w:after="0" w:line="600" w:lineRule="exact"/>
        <w:ind w:firstLine="640" w:firstLineChars="200"/>
        <w:jc w:val="both"/>
        <w:rPr>
          <w:rFonts w:eastAsia="仿宋_GB2312"/>
          <w:bCs/>
          <w:sz w:val="32"/>
          <w:szCs w:val="32"/>
        </w:rPr>
      </w:pPr>
      <w:r>
        <w:rPr>
          <w:rFonts w:eastAsia="仿宋_GB2312"/>
          <w:b/>
          <w:bCs/>
          <w:sz w:val="32"/>
          <w:szCs w:val="32"/>
        </w:rPr>
        <w:t>3</w:t>
      </w:r>
      <w:r>
        <w:rPr>
          <w:rFonts w:hint="eastAsia" w:eastAsia="仿宋_GB2312"/>
          <w:b/>
          <w:bCs/>
          <w:sz w:val="32"/>
          <w:szCs w:val="32"/>
        </w:rPr>
        <w:t>．</w:t>
      </w:r>
      <w:r>
        <w:rPr>
          <w:rFonts w:eastAsia="仿宋_GB2312"/>
          <w:b/>
          <w:bCs/>
          <w:sz w:val="32"/>
          <w:szCs w:val="32"/>
        </w:rPr>
        <w:t>补齐城市环境基础设施短板。</w:t>
      </w:r>
      <w:r>
        <w:rPr>
          <w:rFonts w:eastAsia="仿宋_GB2312"/>
          <w:bCs/>
          <w:sz w:val="32"/>
          <w:szCs w:val="32"/>
        </w:rPr>
        <w:t>推进生活垃圾收运处置设施建设</w:t>
      </w:r>
      <w:r>
        <w:rPr>
          <w:rFonts w:hint="eastAsia" w:eastAsia="仿宋_GB2312"/>
          <w:bCs/>
          <w:sz w:val="32"/>
          <w:szCs w:val="32"/>
        </w:rPr>
        <w:t>和</w:t>
      </w:r>
      <w:r>
        <w:rPr>
          <w:rFonts w:eastAsia="仿宋_GB2312"/>
          <w:bCs/>
          <w:sz w:val="32"/>
          <w:szCs w:val="32"/>
        </w:rPr>
        <w:t>生活垃圾填埋场环境污染隐患排查治理</w:t>
      </w:r>
      <w:r>
        <w:rPr>
          <w:rFonts w:hint="eastAsia" w:ascii="楷体_GB2312" w:eastAsia="楷体_GB2312"/>
          <w:sz w:val="32"/>
          <w:szCs w:val="32"/>
        </w:rPr>
        <w:t>（住房城乡建设厅，生态环境厅）</w:t>
      </w:r>
      <w:r>
        <w:rPr>
          <w:rFonts w:eastAsia="仿宋_GB2312"/>
          <w:bCs/>
          <w:sz w:val="32"/>
          <w:szCs w:val="32"/>
        </w:rPr>
        <w:t>。推进厨余、建筑垃圾处理设施建设，适度超前规划建设城市生活污泥处置设施</w:t>
      </w:r>
      <w:r>
        <w:rPr>
          <w:rFonts w:hint="eastAsia" w:eastAsia="仿宋_GB2312"/>
          <w:sz w:val="32"/>
          <w:szCs w:val="32"/>
        </w:rPr>
        <w:t>，</w:t>
      </w:r>
      <w:r>
        <w:rPr>
          <w:rFonts w:eastAsia="仿宋_GB2312"/>
          <w:bCs/>
          <w:sz w:val="32"/>
          <w:szCs w:val="32"/>
        </w:rPr>
        <w:t>加强污水收集处理设施建设和运维</w:t>
      </w:r>
      <w:r>
        <w:rPr>
          <w:rFonts w:hint="eastAsia" w:eastAsia="仿宋_GB2312"/>
          <w:bCs/>
          <w:sz w:val="32"/>
          <w:szCs w:val="32"/>
        </w:rPr>
        <w:t>管理</w:t>
      </w:r>
      <w:r>
        <w:rPr>
          <w:rFonts w:eastAsia="仿宋_GB2312"/>
          <w:bCs/>
          <w:sz w:val="32"/>
          <w:szCs w:val="32"/>
        </w:rPr>
        <w:t>，</w:t>
      </w:r>
      <w:r>
        <w:rPr>
          <w:rFonts w:eastAsia="仿宋_GB2312"/>
          <w:bCs/>
          <w:sz w:val="32"/>
          <w:szCs w:val="32"/>
          <w:lang w:bidi="ar"/>
        </w:rPr>
        <w:t>常态化开展排水管网及设</w:t>
      </w:r>
      <w:r>
        <w:rPr>
          <w:rFonts w:eastAsia="仿宋_GB2312"/>
          <w:bCs/>
          <w:sz w:val="32"/>
          <w:szCs w:val="32"/>
        </w:rPr>
        <w:t>施专项体检，推进管网更新改造和病害治理，建设城市污水管网全覆盖样板区和污水处理绿色低碳标杆厂。到2027年，</w:t>
      </w:r>
      <w:r>
        <w:rPr>
          <w:rFonts w:hint="eastAsia" w:eastAsia="仿宋_GB2312"/>
          <w:bCs/>
          <w:sz w:val="32"/>
          <w:szCs w:val="32"/>
        </w:rPr>
        <w:t>地级及以上城市建筑垃圾综合利用率达70%，全省设市城市生活污水处理厂进水生化需氧量（BOD）浓度高于100mg/L的规模占比达90%或较2024年提高5个百分点</w:t>
      </w:r>
      <w:r>
        <w:rPr>
          <w:rFonts w:hint="eastAsia" w:ascii="楷体_GB2312" w:eastAsia="楷体_GB2312"/>
          <w:sz w:val="32"/>
          <w:szCs w:val="32"/>
        </w:rPr>
        <w:t>（住房城乡建设厅）</w:t>
      </w:r>
      <w:r>
        <w:rPr>
          <w:rFonts w:hint="eastAsia" w:eastAsia="仿宋_GB2312"/>
          <w:bCs/>
          <w:sz w:val="32"/>
          <w:szCs w:val="32"/>
        </w:rPr>
        <w:t>。</w:t>
      </w:r>
    </w:p>
    <w:p w14:paraId="5BE0607D">
      <w:pPr>
        <w:overflowPunct w:val="0"/>
        <w:topLinePunct/>
        <w:spacing w:after="0" w:line="600" w:lineRule="exact"/>
        <w:ind w:firstLine="640" w:firstLineChars="200"/>
        <w:jc w:val="both"/>
        <w:rPr>
          <w:rFonts w:eastAsia="楷体_GB2312"/>
          <w:b/>
          <w:bCs/>
          <w:sz w:val="32"/>
          <w:szCs w:val="32"/>
        </w:rPr>
      </w:pPr>
      <w:r>
        <w:rPr>
          <w:rFonts w:eastAsia="楷体_GB2312"/>
          <w:b/>
          <w:bCs/>
          <w:sz w:val="32"/>
          <w:szCs w:val="32"/>
        </w:rPr>
        <w:t>（三）提升城市生态宜居品质</w:t>
      </w:r>
    </w:p>
    <w:p w14:paraId="7592E057">
      <w:pPr>
        <w:overflowPunct w:val="0"/>
        <w:topLinePunct/>
        <w:spacing w:after="0" w:line="600" w:lineRule="exact"/>
        <w:ind w:firstLine="640" w:firstLineChars="200"/>
        <w:jc w:val="both"/>
        <w:rPr>
          <w:rFonts w:eastAsia="仿宋_GB2312"/>
          <w:bCs/>
          <w:sz w:val="32"/>
          <w:szCs w:val="32"/>
        </w:rPr>
      </w:pPr>
      <w:r>
        <w:rPr>
          <w:rFonts w:eastAsia="仿宋_GB2312"/>
          <w:b/>
          <w:bCs/>
          <w:sz w:val="32"/>
          <w:szCs w:val="32"/>
        </w:rPr>
        <w:t>1</w:t>
      </w:r>
      <w:r>
        <w:rPr>
          <w:rFonts w:hint="eastAsia" w:eastAsia="仿宋_GB2312"/>
          <w:b/>
          <w:bCs/>
          <w:sz w:val="32"/>
          <w:szCs w:val="32"/>
        </w:rPr>
        <w:t>．</w:t>
      </w:r>
      <w:r>
        <w:rPr>
          <w:rFonts w:eastAsia="仿宋_GB2312"/>
          <w:b/>
          <w:bCs/>
          <w:sz w:val="32"/>
          <w:szCs w:val="32"/>
        </w:rPr>
        <w:t>建设高品质宜居空间</w:t>
      </w:r>
      <w:r>
        <w:rPr>
          <w:rFonts w:eastAsia="仿宋_GB2312"/>
          <w:b/>
          <w:sz w:val="32"/>
          <w:szCs w:val="32"/>
        </w:rPr>
        <w:t>。</w:t>
      </w:r>
      <w:r>
        <w:rPr>
          <w:rFonts w:eastAsia="仿宋_GB2312"/>
          <w:sz w:val="32"/>
          <w:szCs w:val="32"/>
        </w:rPr>
        <w:t>推进生态廊道、通风廊道、城市绿道、景观廊道及基础设施一体布局</w:t>
      </w:r>
      <w:r>
        <w:rPr>
          <w:rFonts w:hint="eastAsia" w:ascii="楷体_GB2312" w:eastAsia="楷体_GB2312"/>
          <w:sz w:val="32"/>
          <w:szCs w:val="32"/>
        </w:rPr>
        <w:t>（自然资源厅）</w:t>
      </w:r>
      <w:r>
        <w:rPr>
          <w:rFonts w:hint="eastAsia" w:eastAsia="仿宋_GB2312"/>
          <w:sz w:val="32"/>
          <w:szCs w:val="32"/>
        </w:rPr>
        <w:t>。</w:t>
      </w:r>
      <w:r>
        <w:rPr>
          <w:rFonts w:eastAsia="仿宋_GB2312"/>
          <w:bCs/>
          <w:sz w:val="32"/>
          <w:szCs w:val="32"/>
        </w:rPr>
        <w:t>建设高品质生态社区，优化十五分钟生活圈要素配置和空间布局</w:t>
      </w:r>
      <w:r>
        <w:rPr>
          <w:rFonts w:hint="eastAsia" w:eastAsia="仿宋_GB2312"/>
          <w:bCs/>
          <w:sz w:val="32"/>
          <w:szCs w:val="32"/>
        </w:rPr>
        <w:t>，梯次推进生态社区建设</w:t>
      </w:r>
      <w:r>
        <w:rPr>
          <w:rFonts w:eastAsia="仿宋_GB2312"/>
          <w:bCs/>
          <w:sz w:val="32"/>
          <w:szCs w:val="32"/>
        </w:rPr>
        <w:t>，鼓励成都、绵阳</w:t>
      </w:r>
      <w:r>
        <w:rPr>
          <w:rFonts w:hint="eastAsia" w:eastAsia="仿宋_GB2312"/>
          <w:bCs/>
          <w:sz w:val="32"/>
          <w:szCs w:val="32"/>
        </w:rPr>
        <w:t>率先</w:t>
      </w:r>
      <w:r>
        <w:rPr>
          <w:rFonts w:eastAsia="仿宋_GB2312"/>
          <w:bCs/>
          <w:sz w:val="32"/>
          <w:szCs w:val="32"/>
        </w:rPr>
        <w:t>开展试点示范</w:t>
      </w:r>
      <w:r>
        <w:rPr>
          <w:rFonts w:hint="eastAsia" w:ascii="楷体_GB2312" w:eastAsia="楷体_GB2312"/>
          <w:sz w:val="32"/>
          <w:szCs w:val="32"/>
        </w:rPr>
        <w:t>（住房城乡建设厅）</w:t>
      </w:r>
      <w:r>
        <w:rPr>
          <w:rFonts w:eastAsia="仿宋_GB2312"/>
          <w:bCs/>
          <w:sz w:val="32"/>
          <w:szCs w:val="32"/>
        </w:rPr>
        <w:t>。加强城市老旧公园、社区公园更新改造，推动口袋公园、城市绿道等建设</w:t>
      </w:r>
      <w:r>
        <w:rPr>
          <w:rFonts w:hint="eastAsia" w:eastAsia="仿宋_GB2312"/>
          <w:bCs/>
          <w:sz w:val="32"/>
          <w:szCs w:val="32"/>
        </w:rPr>
        <w:t>，</w:t>
      </w:r>
      <w:r>
        <w:rPr>
          <w:rFonts w:eastAsia="仿宋_GB2312"/>
          <w:bCs/>
          <w:sz w:val="32"/>
          <w:szCs w:val="32"/>
        </w:rPr>
        <w:t>到2027年，新增和改造口袋公园、社区公园500个以上，新建城市绿道1000公里以上，城市公园绿化活动场地服务半径覆盖率达83%</w:t>
      </w:r>
      <w:r>
        <w:rPr>
          <w:rFonts w:hint="eastAsia" w:ascii="楷体_GB2312" w:eastAsia="楷体_GB2312"/>
          <w:sz w:val="32"/>
          <w:szCs w:val="32"/>
        </w:rPr>
        <w:t>（住房城乡建设厅）</w:t>
      </w:r>
      <w:r>
        <w:rPr>
          <w:rFonts w:eastAsia="仿宋_GB2312"/>
          <w:bCs/>
          <w:sz w:val="32"/>
          <w:szCs w:val="32"/>
        </w:rPr>
        <w:t>。</w:t>
      </w:r>
    </w:p>
    <w:p w14:paraId="579B3105">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2</w:t>
      </w:r>
      <w:r>
        <w:rPr>
          <w:rFonts w:hint="eastAsia" w:eastAsia="仿宋_GB2312"/>
          <w:b/>
          <w:bCs/>
          <w:sz w:val="32"/>
          <w:szCs w:val="32"/>
        </w:rPr>
        <w:t>．</w:t>
      </w:r>
      <w:r>
        <w:rPr>
          <w:rFonts w:hint="eastAsia" w:eastAsia="仿宋_GB2312"/>
          <w:b/>
          <w:sz w:val="32"/>
          <w:szCs w:val="32"/>
        </w:rPr>
        <w:t>加强</w:t>
      </w:r>
      <w:r>
        <w:rPr>
          <w:rFonts w:eastAsia="仿宋_GB2312"/>
          <w:b/>
          <w:sz w:val="32"/>
          <w:szCs w:val="32"/>
        </w:rPr>
        <w:t>城市</w:t>
      </w:r>
      <w:r>
        <w:rPr>
          <w:rFonts w:hint="eastAsia" w:eastAsia="仿宋_GB2312"/>
          <w:b/>
          <w:sz w:val="32"/>
          <w:szCs w:val="32"/>
        </w:rPr>
        <w:t>生物多样性</w:t>
      </w:r>
      <w:r>
        <w:rPr>
          <w:rFonts w:eastAsia="仿宋_GB2312"/>
          <w:b/>
          <w:sz w:val="32"/>
          <w:szCs w:val="32"/>
        </w:rPr>
        <w:t>保护。</w:t>
      </w:r>
      <w:r>
        <w:rPr>
          <w:rFonts w:hint="eastAsia" w:eastAsia="仿宋_GB2312"/>
          <w:sz w:val="32"/>
          <w:szCs w:val="32"/>
        </w:rPr>
        <w:t>加强城市生态系统保护及市域内珍贵物种就地保护</w:t>
      </w:r>
      <w:r>
        <w:rPr>
          <w:rFonts w:eastAsia="仿宋_GB2312"/>
          <w:sz w:val="32"/>
          <w:szCs w:val="32"/>
        </w:rPr>
        <w:t>，</w:t>
      </w:r>
      <w:r>
        <w:rPr>
          <w:rFonts w:hint="eastAsia" w:eastAsia="仿宋_GB2312"/>
          <w:bCs/>
          <w:sz w:val="32"/>
          <w:szCs w:val="32"/>
        </w:rPr>
        <w:t>强化</w:t>
      </w:r>
      <w:r>
        <w:rPr>
          <w:rFonts w:eastAsia="仿宋_GB2312"/>
          <w:bCs/>
          <w:sz w:val="32"/>
          <w:szCs w:val="32"/>
        </w:rPr>
        <w:t>古树名木保护管理</w:t>
      </w:r>
      <w:r>
        <w:rPr>
          <w:rFonts w:hint="eastAsia" w:ascii="楷体_GB2312" w:eastAsia="楷体_GB2312"/>
          <w:sz w:val="32"/>
          <w:szCs w:val="32"/>
        </w:rPr>
        <w:t>（住房城乡建设厅、省林草局）</w:t>
      </w:r>
      <w:r>
        <w:rPr>
          <w:rFonts w:eastAsia="仿宋_GB2312"/>
          <w:bCs/>
          <w:sz w:val="32"/>
          <w:szCs w:val="32"/>
        </w:rPr>
        <w:t>。</w:t>
      </w:r>
      <w:r>
        <w:rPr>
          <w:rFonts w:eastAsia="仿宋_GB2312"/>
          <w:sz w:val="32"/>
          <w:szCs w:val="32"/>
        </w:rPr>
        <w:t>高标准规划建设天府动物园，</w:t>
      </w:r>
      <w:r>
        <w:rPr>
          <w:rFonts w:hint="eastAsia" w:eastAsia="仿宋_GB2312"/>
          <w:sz w:val="32"/>
          <w:szCs w:val="32"/>
        </w:rPr>
        <w:t>支持成都国家植物园创建</w:t>
      </w:r>
      <w:r>
        <w:rPr>
          <w:rFonts w:hint="eastAsia" w:ascii="楷体_GB2312" w:eastAsia="楷体_GB2312"/>
          <w:sz w:val="32"/>
          <w:szCs w:val="32"/>
        </w:rPr>
        <w:t>（省林草局）</w:t>
      </w:r>
      <w:r>
        <w:rPr>
          <w:rFonts w:hint="eastAsia" w:eastAsia="仿宋_GB2312"/>
          <w:sz w:val="32"/>
          <w:szCs w:val="32"/>
        </w:rPr>
        <w:t>。</w:t>
      </w:r>
      <w:r>
        <w:rPr>
          <w:rFonts w:eastAsia="仿宋_GB2312"/>
          <w:sz w:val="32"/>
          <w:szCs w:val="32"/>
        </w:rPr>
        <w:t>完善外来入侵物种风险防控、人兽接触及疫病传播风险防控机制</w:t>
      </w:r>
      <w:r>
        <w:rPr>
          <w:rFonts w:hint="eastAsia" w:ascii="楷体_GB2312" w:eastAsia="楷体_GB2312"/>
          <w:sz w:val="32"/>
          <w:szCs w:val="32"/>
        </w:rPr>
        <w:t>（农业农村厅，省林草局</w:t>
      </w:r>
      <w:r>
        <w:rPr>
          <w:rFonts w:ascii="楷体_GB2312" w:eastAsia="楷体_GB2312"/>
          <w:sz w:val="32"/>
          <w:szCs w:val="32"/>
        </w:rPr>
        <w:t>、</w:t>
      </w:r>
      <w:r>
        <w:rPr>
          <w:rFonts w:hint="eastAsia" w:ascii="楷体_GB2312" w:eastAsia="楷体_GB2312"/>
          <w:sz w:val="32"/>
          <w:szCs w:val="32"/>
        </w:rPr>
        <w:t>省卫生健康委）</w:t>
      </w:r>
      <w:r>
        <w:rPr>
          <w:rFonts w:eastAsia="仿宋_GB2312"/>
          <w:sz w:val="32"/>
          <w:szCs w:val="32"/>
        </w:rPr>
        <w:t>。推进生物多样性友好城市建设，探索生物多样性友好城市单元建设</w:t>
      </w:r>
      <w:r>
        <w:rPr>
          <w:rFonts w:hint="eastAsia" w:eastAsia="仿宋_GB2312"/>
          <w:sz w:val="32"/>
          <w:szCs w:val="32"/>
        </w:rPr>
        <w:t>，建设一批生物多样性科普体验地</w:t>
      </w:r>
      <w:r>
        <w:rPr>
          <w:rFonts w:hint="eastAsia" w:ascii="楷体_GB2312" w:eastAsia="楷体_GB2312"/>
          <w:sz w:val="32"/>
          <w:szCs w:val="32"/>
        </w:rPr>
        <w:t>（</w:t>
      </w:r>
      <w:r>
        <w:rPr>
          <w:rFonts w:ascii="楷体_GB2312" w:eastAsia="楷体_GB2312"/>
          <w:sz w:val="32"/>
          <w:szCs w:val="32"/>
        </w:rPr>
        <w:t>生态环境厅</w:t>
      </w:r>
      <w:r>
        <w:rPr>
          <w:rFonts w:hint="eastAsia" w:ascii="楷体_GB2312" w:eastAsia="楷体_GB2312"/>
          <w:sz w:val="32"/>
          <w:szCs w:val="32"/>
        </w:rPr>
        <w:t>、住房城乡建设厅、省林草局）</w:t>
      </w:r>
      <w:r>
        <w:rPr>
          <w:rFonts w:eastAsia="仿宋_GB2312"/>
          <w:sz w:val="32"/>
          <w:szCs w:val="32"/>
        </w:rPr>
        <w:t>。</w:t>
      </w:r>
    </w:p>
    <w:p w14:paraId="5ED56070">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3</w:t>
      </w:r>
      <w:r>
        <w:rPr>
          <w:rFonts w:hint="eastAsia" w:eastAsia="仿宋_GB2312"/>
          <w:b/>
          <w:bCs/>
          <w:sz w:val="32"/>
          <w:szCs w:val="32"/>
        </w:rPr>
        <w:t>．深入</w:t>
      </w:r>
      <w:r>
        <w:rPr>
          <w:rFonts w:eastAsia="仿宋_GB2312"/>
          <w:b/>
          <w:bCs/>
          <w:sz w:val="32"/>
          <w:szCs w:val="32"/>
        </w:rPr>
        <w:t>推进</w:t>
      </w:r>
      <w:r>
        <w:rPr>
          <w:rFonts w:hint="eastAsia" w:ascii="仿宋_GB2312" w:eastAsia="仿宋_GB2312"/>
          <w:b/>
          <w:bCs/>
          <w:sz w:val="32"/>
          <w:szCs w:val="32"/>
        </w:rPr>
        <w:t>“无废城市”建</w:t>
      </w:r>
      <w:r>
        <w:rPr>
          <w:rFonts w:hint="eastAsia" w:eastAsia="仿宋_GB2312"/>
          <w:b/>
          <w:bCs/>
          <w:sz w:val="32"/>
          <w:szCs w:val="32"/>
        </w:rPr>
        <w:t>设。</w:t>
      </w:r>
      <w:bookmarkStart w:id="0" w:name="OLE_LINK5"/>
      <w:r>
        <w:rPr>
          <w:rFonts w:hint="eastAsia" w:eastAsia="仿宋_GB2312"/>
          <w:sz w:val="32"/>
          <w:szCs w:val="32"/>
        </w:rPr>
        <w:t>统筹城市发展与固体废物管理</w:t>
      </w:r>
      <w:r>
        <w:rPr>
          <w:rFonts w:eastAsia="仿宋_GB2312"/>
          <w:sz w:val="32"/>
          <w:szCs w:val="32"/>
        </w:rPr>
        <w:t>，开</w:t>
      </w:r>
      <w:r>
        <w:rPr>
          <w:rFonts w:hint="eastAsia" w:ascii="仿宋_GB2312" w:eastAsia="仿宋_GB2312"/>
          <w:sz w:val="32"/>
          <w:szCs w:val="32"/>
        </w:rPr>
        <w:t>展“无废城市”提</w:t>
      </w:r>
      <w:r>
        <w:rPr>
          <w:rFonts w:eastAsia="仿宋_GB2312"/>
          <w:sz w:val="32"/>
          <w:szCs w:val="32"/>
        </w:rPr>
        <w:t>质增效建设行动，推进成都、自贡等15个</w:t>
      </w:r>
      <w:r>
        <w:rPr>
          <w:rFonts w:hint="eastAsia" w:ascii="仿宋_GB2312" w:eastAsia="仿宋_GB2312"/>
          <w:sz w:val="32"/>
          <w:szCs w:val="32"/>
        </w:rPr>
        <w:t>“无废城市”建</w:t>
      </w:r>
      <w:r>
        <w:rPr>
          <w:rFonts w:eastAsia="仿宋_GB2312"/>
          <w:sz w:val="32"/>
          <w:szCs w:val="32"/>
        </w:rPr>
        <w:t>设</w:t>
      </w:r>
      <w:bookmarkEnd w:id="0"/>
      <w:r>
        <w:rPr>
          <w:rFonts w:eastAsia="仿宋_GB2312"/>
          <w:sz w:val="32"/>
          <w:szCs w:val="32"/>
        </w:rPr>
        <w:t>，到2027年，累计建设</w:t>
      </w:r>
      <w:r>
        <w:rPr>
          <w:rFonts w:hint="eastAsia" w:ascii="仿宋_GB2312" w:eastAsia="仿宋_GB2312"/>
          <w:sz w:val="32"/>
          <w:szCs w:val="32"/>
        </w:rPr>
        <w:t>“无废城市细胞”</w:t>
      </w:r>
      <w:r>
        <w:rPr>
          <w:rFonts w:hint="eastAsia" w:eastAsia="仿宋_GB2312"/>
          <w:sz w:val="32"/>
          <w:szCs w:val="32"/>
        </w:rPr>
        <w:t>4000个以上</w:t>
      </w:r>
      <w:r>
        <w:rPr>
          <w:rFonts w:hint="eastAsia" w:ascii="楷体_GB2312" w:eastAsia="楷体_GB2312"/>
          <w:sz w:val="32"/>
          <w:szCs w:val="32"/>
        </w:rPr>
        <w:t>（生态环境厅，省发展改革委</w:t>
      </w:r>
      <w:r>
        <w:rPr>
          <w:rFonts w:ascii="楷体_GB2312" w:eastAsia="楷体_GB2312"/>
          <w:sz w:val="32"/>
          <w:szCs w:val="32"/>
        </w:rPr>
        <w:t>、</w:t>
      </w:r>
      <w:r>
        <w:rPr>
          <w:rFonts w:hint="eastAsia" w:ascii="楷体_GB2312" w:eastAsia="楷体_GB2312"/>
          <w:sz w:val="32"/>
          <w:szCs w:val="32"/>
        </w:rPr>
        <w:t>经济和信息化厅</w:t>
      </w:r>
      <w:r>
        <w:rPr>
          <w:rFonts w:ascii="楷体_GB2312" w:eastAsia="楷体_GB2312"/>
          <w:sz w:val="32"/>
          <w:szCs w:val="32"/>
        </w:rPr>
        <w:t>、住房城乡建设厅</w:t>
      </w:r>
      <w:r>
        <w:rPr>
          <w:rFonts w:hint="eastAsia" w:ascii="楷体_GB2312" w:eastAsia="楷体_GB2312"/>
          <w:sz w:val="32"/>
          <w:szCs w:val="32"/>
        </w:rPr>
        <w:t>、</w:t>
      </w:r>
      <w:r>
        <w:rPr>
          <w:rFonts w:ascii="楷体_GB2312" w:eastAsia="楷体_GB2312"/>
          <w:sz w:val="32"/>
          <w:szCs w:val="32"/>
        </w:rPr>
        <w:t>农业农村厅</w:t>
      </w:r>
      <w:r>
        <w:rPr>
          <w:rFonts w:hint="eastAsia" w:ascii="楷体_GB2312" w:eastAsia="楷体_GB2312"/>
          <w:sz w:val="32"/>
          <w:szCs w:val="32"/>
        </w:rPr>
        <w:t>、</w:t>
      </w:r>
      <w:r>
        <w:rPr>
          <w:rFonts w:ascii="楷体_GB2312" w:eastAsia="楷体_GB2312"/>
          <w:sz w:val="32"/>
          <w:szCs w:val="32"/>
        </w:rPr>
        <w:t>商务厅</w:t>
      </w:r>
      <w:r>
        <w:rPr>
          <w:rFonts w:hint="eastAsia" w:ascii="楷体_GB2312" w:eastAsia="楷体_GB2312"/>
          <w:sz w:val="32"/>
          <w:szCs w:val="32"/>
        </w:rPr>
        <w:t>）</w:t>
      </w:r>
      <w:r>
        <w:rPr>
          <w:rFonts w:hint="eastAsia" w:eastAsia="仿宋_GB2312"/>
          <w:sz w:val="32"/>
          <w:szCs w:val="32"/>
        </w:rPr>
        <w:t>。强化塑料污染治理</w:t>
      </w:r>
      <w:r>
        <w:rPr>
          <w:rFonts w:hint="eastAsia" w:ascii="楷体_GB2312" w:eastAsia="楷体_GB2312"/>
          <w:sz w:val="32"/>
          <w:szCs w:val="32"/>
        </w:rPr>
        <w:t>（省</w:t>
      </w:r>
      <w:r>
        <w:rPr>
          <w:rFonts w:ascii="楷体_GB2312" w:eastAsia="楷体_GB2312"/>
          <w:sz w:val="32"/>
          <w:szCs w:val="32"/>
        </w:rPr>
        <w:t>发展改革委、</w:t>
      </w:r>
      <w:r>
        <w:rPr>
          <w:rFonts w:hint="eastAsia" w:ascii="楷体_GB2312" w:eastAsia="楷体_GB2312"/>
          <w:sz w:val="32"/>
          <w:szCs w:val="32"/>
        </w:rPr>
        <w:t>生态环境厅）</w:t>
      </w:r>
      <w:r>
        <w:rPr>
          <w:rFonts w:hint="eastAsia" w:eastAsia="仿宋_GB2312"/>
          <w:sz w:val="32"/>
          <w:szCs w:val="32"/>
        </w:rPr>
        <w:t>，推进快递包装绿色化，</w:t>
      </w:r>
      <w:r>
        <w:rPr>
          <w:rFonts w:hint="eastAsia" w:ascii="仿宋_GB2312" w:eastAsia="仿宋_GB2312"/>
          <w:sz w:val="32"/>
          <w:szCs w:val="32"/>
        </w:rPr>
        <w:t>开展“限塑令”</w:t>
      </w:r>
      <w:r>
        <w:rPr>
          <w:rFonts w:eastAsia="仿宋_GB2312"/>
          <w:sz w:val="32"/>
          <w:szCs w:val="32"/>
        </w:rPr>
        <w:t>专项</w:t>
      </w:r>
      <w:r>
        <w:rPr>
          <w:rFonts w:hint="eastAsia" w:eastAsia="仿宋_GB2312"/>
          <w:sz w:val="32"/>
          <w:szCs w:val="32"/>
        </w:rPr>
        <w:t>整治</w:t>
      </w:r>
      <w:r>
        <w:rPr>
          <w:rFonts w:hint="eastAsia" w:ascii="楷体_GB2312" w:eastAsia="楷体_GB2312"/>
          <w:sz w:val="32"/>
          <w:szCs w:val="32"/>
        </w:rPr>
        <w:t>（商务厅、省</w:t>
      </w:r>
      <w:r>
        <w:rPr>
          <w:rFonts w:ascii="楷体_GB2312" w:eastAsia="楷体_GB2312"/>
          <w:sz w:val="32"/>
          <w:szCs w:val="32"/>
        </w:rPr>
        <w:t>邮政管理局</w:t>
      </w:r>
      <w:r>
        <w:rPr>
          <w:rFonts w:hint="eastAsia" w:ascii="楷体_GB2312" w:eastAsia="楷体_GB2312"/>
          <w:sz w:val="32"/>
          <w:szCs w:val="32"/>
        </w:rPr>
        <w:t>）</w:t>
      </w:r>
      <w:r>
        <w:rPr>
          <w:rFonts w:hint="eastAsia" w:eastAsia="仿宋_GB2312"/>
          <w:sz w:val="32"/>
          <w:szCs w:val="32"/>
        </w:rPr>
        <w:t>。</w:t>
      </w:r>
      <w:bookmarkStart w:id="1" w:name="OLE_LINK4"/>
      <w:bookmarkStart w:id="2" w:name="OLE_LINK11"/>
      <w:r>
        <w:rPr>
          <w:rFonts w:hint="eastAsia" w:eastAsia="仿宋_GB2312"/>
          <w:sz w:val="32"/>
          <w:szCs w:val="32"/>
        </w:rPr>
        <w:t>支持医疗废物处置设施提标改造</w:t>
      </w:r>
      <w:r>
        <w:rPr>
          <w:rFonts w:hint="eastAsia" w:ascii="楷体_GB2312" w:eastAsia="楷体_GB2312"/>
          <w:sz w:val="32"/>
          <w:szCs w:val="32"/>
        </w:rPr>
        <w:t>（生态环境厅</w:t>
      </w:r>
      <w:r>
        <w:rPr>
          <w:rFonts w:ascii="楷体_GB2312" w:eastAsia="楷体_GB2312"/>
          <w:sz w:val="32"/>
          <w:szCs w:val="32"/>
        </w:rPr>
        <w:t>，</w:t>
      </w:r>
      <w:r>
        <w:rPr>
          <w:rFonts w:hint="eastAsia" w:ascii="楷体_GB2312" w:eastAsia="楷体_GB2312"/>
          <w:sz w:val="32"/>
          <w:szCs w:val="32"/>
        </w:rPr>
        <w:t>省发展改革委、省卫生健康委）</w:t>
      </w:r>
      <w:r>
        <w:rPr>
          <w:rFonts w:hint="eastAsia" w:eastAsia="仿宋_GB2312"/>
          <w:sz w:val="32"/>
          <w:szCs w:val="32"/>
        </w:rPr>
        <w:t>。</w:t>
      </w:r>
      <w:bookmarkEnd w:id="1"/>
      <w:bookmarkEnd w:id="2"/>
      <w:r>
        <w:rPr>
          <w:rFonts w:hint="eastAsia" w:eastAsia="仿宋_GB2312"/>
          <w:sz w:val="32"/>
          <w:szCs w:val="32"/>
        </w:rPr>
        <w:t>提升报废机动车回收拆解产物资源化利用水平</w:t>
      </w:r>
      <w:r>
        <w:rPr>
          <w:rFonts w:hint="eastAsia" w:ascii="楷体_GB2312" w:eastAsia="楷体_GB2312"/>
          <w:sz w:val="32"/>
          <w:szCs w:val="32"/>
        </w:rPr>
        <w:t>（商务厅</w:t>
      </w:r>
      <w:r>
        <w:rPr>
          <w:rFonts w:ascii="楷体_GB2312" w:eastAsia="楷体_GB2312"/>
          <w:sz w:val="32"/>
          <w:szCs w:val="32"/>
        </w:rPr>
        <w:t>，</w:t>
      </w:r>
      <w:r>
        <w:rPr>
          <w:rFonts w:hint="eastAsia" w:ascii="楷体_GB2312" w:eastAsia="楷体_GB2312"/>
          <w:sz w:val="32"/>
          <w:szCs w:val="32"/>
        </w:rPr>
        <w:t>省</w:t>
      </w:r>
      <w:r>
        <w:rPr>
          <w:rFonts w:ascii="楷体_GB2312" w:eastAsia="楷体_GB2312"/>
          <w:sz w:val="32"/>
          <w:szCs w:val="32"/>
        </w:rPr>
        <w:t>市场监管局</w:t>
      </w:r>
      <w:r>
        <w:rPr>
          <w:rFonts w:hint="eastAsia" w:ascii="楷体_GB2312" w:eastAsia="楷体_GB2312"/>
          <w:sz w:val="32"/>
          <w:szCs w:val="32"/>
        </w:rPr>
        <w:t>）</w:t>
      </w:r>
      <w:r>
        <w:rPr>
          <w:rFonts w:hint="eastAsia" w:eastAsia="仿宋_GB2312"/>
          <w:sz w:val="32"/>
          <w:szCs w:val="32"/>
        </w:rPr>
        <w:t>。建立健全废旧动力电池回收利用溯源管理体系</w:t>
      </w:r>
      <w:r>
        <w:rPr>
          <w:rFonts w:hint="eastAsia" w:ascii="楷体_GB2312" w:eastAsia="楷体_GB2312"/>
          <w:sz w:val="32"/>
          <w:szCs w:val="32"/>
        </w:rPr>
        <w:t>（</w:t>
      </w:r>
      <w:r>
        <w:rPr>
          <w:rFonts w:ascii="楷体_GB2312" w:eastAsia="楷体_GB2312"/>
          <w:sz w:val="32"/>
          <w:szCs w:val="32"/>
        </w:rPr>
        <w:t>经济</w:t>
      </w:r>
      <w:r>
        <w:rPr>
          <w:rFonts w:hint="eastAsia" w:ascii="楷体_GB2312" w:eastAsia="楷体_GB2312"/>
          <w:sz w:val="32"/>
          <w:szCs w:val="32"/>
        </w:rPr>
        <w:t>和</w:t>
      </w:r>
      <w:r>
        <w:rPr>
          <w:rFonts w:ascii="楷体_GB2312" w:eastAsia="楷体_GB2312"/>
          <w:sz w:val="32"/>
          <w:szCs w:val="32"/>
        </w:rPr>
        <w:t>信息化厅</w:t>
      </w:r>
      <w:r>
        <w:rPr>
          <w:rFonts w:hint="eastAsia" w:ascii="楷体_GB2312" w:eastAsia="楷体_GB2312"/>
          <w:sz w:val="32"/>
          <w:szCs w:val="32"/>
        </w:rPr>
        <w:t>，省发展改革委、生态环境厅</w:t>
      </w:r>
      <w:r>
        <w:rPr>
          <w:rFonts w:ascii="楷体_GB2312" w:eastAsia="楷体_GB2312"/>
          <w:sz w:val="32"/>
          <w:szCs w:val="32"/>
        </w:rPr>
        <w:t>、</w:t>
      </w:r>
      <w:r>
        <w:rPr>
          <w:rFonts w:hint="eastAsia" w:ascii="楷体_GB2312" w:eastAsia="楷体_GB2312"/>
          <w:sz w:val="32"/>
          <w:szCs w:val="32"/>
        </w:rPr>
        <w:t>商务厅、</w:t>
      </w:r>
      <w:r>
        <w:rPr>
          <w:rFonts w:ascii="楷体_GB2312" w:eastAsia="楷体_GB2312"/>
          <w:sz w:val="32"/>
          <w:szCs w:val="32"/>
        </w:rPr>
        <w:t>省市场监</w:t>
      </w:r>
      <w:r>
        <w:rPr>
          <w:rFonts w:hint="eastAsia" w:ascii="楷体_GB2312" w:eastAsia="楷体_GB2312"/>
          <w:sz w:val="32"/>
          <w:szCs w:val="32"/>
        </w:rPr>
        <w:t>管</w:t>
      </w:r>
      <w:r>
        <w:rPr>
          <w:rFonts w:ascii="楷体_GB2312" w:eastAsia="楷体_GB2312"/>
          <w:sz w:val="32"/>
          <w:szCs w:val="32"/>
        </w:rPr>
        <w:t>局</w:t>
      </w:r>
      <w:r>
        <w:rPr>
          <w:rFonts w:hint="eastAsia" w:ascii="楷体_GB2312" w:eastAsia="楷体_GB2312"/>
          <w:sz w:val="32"/>
          <w:szCs w:val="32"/>
        </w:rPr>
        <w:t>）</w:t>
      </w:r>
      <w:r>
        <w:rPr>
          <w:rFonts w:eastAsia="仿宋_GB2312"/>
          <w:sz w:val="32"/>
          <w:szCs w:val="32"/>
        </w:rPr>
        <w:t>。</w:t>
      </w:r>
    </w:p>
    <w:p w14:paraId="2DEB0F0E">
      <w:pPr>
        <w:overflowPunct w:val="0"/>
        <w:topLinePunct/>
        <w:spacing w:after="0" w:line="600" w:lineRule="exact"/>
        <w:ind w:firstLine="640" w:firstLineChars="200"/>
        <w:jc w:val="both"/>
        <w:rPr>
          <w:rFonts w:eastAsia="仿宋_GB2312"/>
          <w:bCs/>
          <w:sz w:val="32"/>
          <w:szCs w:val="32"/>
        </w:rPr>
      </w:pPr>
      <w:r>
        <w:rPr>
          <w:rFonts w:eastAsia="仿宋_GB2312"/>
          <w:b/>
          <w:bCs/>
          <w:sz w:val="32"/>
          <w:szCs w:val="32"/>
        </w:rPr>
        <w:t>4</w:t>
      </w:r>
      <w:r>
        <w:rPr>
          <w:rFonts w:hint="eastAsia" w:eastAsia="仿宋_GB2312"/>
          <w:b/>
          <w:bCs/>
          <w:sz w:val="32"/>
          <w:szCs w:val="32"/>
        </w:rPr>
        <w:t>．</w:t>
      </w:r>
      <w:r>
        <w:rPr>
          <w:rFonts w:eastAsia="仿宋_GB2312"/>
          <w:b/>
          <w:bCs/>
          <w:sz w:val="32"/>
          <w:szCs w:val="32"/>
        </w:rPr>
        <w:t>推进城市生态文化建设。</w:t>
      </w:r>
      <w:r>
        <w:rPr>
          <w:rFonts w:eastAsia="仿宋_GB2312"/>
          <w:bCs/>
          <w:sz w:val="32"/>
          <w:szCs w:val="32"/>
        </w:rPr>
        <w:t>促进城</w:t>
      </w:r>
      <w:r>
        <w:rPr>
          <w:rFonts w:hint="eastAsia" w:ascii="仿宋_GB2312" w:eastAsia="仿宋_GB2312"/>
          <w:bCs/>
          <w:sz w:val="32"/>
          <w:szCs w:val="32"/>
        </w:rPr>
        <w:t>市“生态文化+”产</w:t>
      </w:r>
      <w:r>
        <w:rPr>
          <w:rFonts w:eastAsia="仿宋_GB2312"/>
          <w:bCs/>
          <w:sz w:val="32"/>
          <w:szCs w:val="32"/>
        </w:rPr>
        <w:t>业发展，鼓励打造有影响力、有竞争力的城市生态文化品牌，围绕蜀水文化、生态产品价值实现等主题，推出一批生态文化特色旅游精品线路</w:t>
      </w:r>
      <w:r>
        <w:rPr>
          <w:rFonts w:hint="eastAsia" w:eastAsia="仿宋_GB2312"/>
          <w:bCs/>
          <w:sz w:val="32"/>
          <w:szCs w:val="32"/>
        </w:rPr>
        <w:t>和</w:t>
      </w:r>
      <w:r>
        <w:rPr>
          <w:rFonts w:eastAsia="仿宋_GB2312"/>
          <w:bCs/>
          <w:sz w:val="32"/>
          <w:szCs w:val="32"/>
        </w:rPr>
        <w:t>旅游产品</w:t>
      </w:r>
      <w:r>
        <w:rPr>
          <w:rFonts w:hint="eastAsia" w:ascii="楷体_GB2312" w:eastAsia="楷体_GB2312"/>
          <w:sz w:val="32"/>
          <w:szCs w:val="32"/>
        </w:rPr>
        <w:t>（文化和旅游厅</w:t>
      </w:r>
      <w:r>
        <w:rPr>
          <w:rFonts w:ascii="楷体_GB2312" w:eastAsia="楷体_GB2312"/>
          <w:sz w:val="32"/>
          <w:szCs w:val="32"/>
        </w:rPr>
        <w:t>，</w:t>
      </w:r>
      <w:r>
        <w:rPr>
          <w:rFonts w:hint="eastAsia" w:ascii="楷体_GB2312" w:eastAsia="楷体_GB2312"/>
          <w:sz w:val="32"/>
          <w:szCs w:val="32"/>
        </w:rPr>
        <w:t>省委宣传部</w:t>
      </w:r>
      <w:r>
        <w:rPr>
          <w:rFonts w:ascii="楷体_GB2312" w:eastAsia="楷体_GB2312"/>
          <w:sz w:val="32"/>
          <w:szCs w:val="32"/>
        </w:rPr>
        <w:t>、生态环境厅</w:t>
      </w:r>
      <w:r>
        <w:rPr>
          <w:rFonts w:hint="eastAsia" w:ascii="楷体_GB2312" w:eastAsia="楷体_GB2312"/>
          <w:sz w:val="32"/>
          <w:szCs w:val="32"/>
        </w:rPr>
        <w:t>）</w:t>
      </w:r>
      <w:r>
        <w:rPr>
          <w:rFonts w:eastAsia="仿宋_GB2312"/>
          <w:bCs/>
          <w:sz w:val="32"/>
          <w:szCs w:val="32"/>
        </w:rPr>
        <w:t>。</w:t>
      </w:r>
      <w:r>
        <w:rPr>
          <w:rFonts w:hint="eastAsia" w:eastAsia="仿宋_GB2312"/>
          <w:bCs/>
          <w:sz w:val="32"/>
          <w:szCs w:val="32"/>
        </w:rPr>
        <w:t>落</w:t>
      </w:r>
      <w:r>
        <w:rPr>
          <w:rFonts w:hint="eastAsia" w:ascii="仿宋_GB2312" w:eastAsia="仿宋_GB2312"/>
          <w:bCs/>
          <w:sz w:val="32"/>
          <w:szCs w:val="32"/>
        </w:rPr>
        <w:t>实“先调查、后建设”“先考古、后出让”政</w:t>
      </w:r>
      <w:r>
        <w:rPr>
          <w:rFonts w:hint="eastAsia" w:eastAsia="仿宋_GB2312"/>
          <w:bCs/>
          <w:sz w:val="32"/>
          <w:szCs w:val="32"/>
        </w:rPr>
        <w:t>策和配套措施，</w:t>
      </w:r>
      <w:r>
        <w:rPr>
          <w:rFonts w:eastAsia="仿宋_GB2312"/>
          <w:bCs/>
          <w:sz w:val="32"/>
          <w:szCs w:val="32"/>
        </w:rPr>
        <w:t>实施一批历史文化街区</w:t>
      </w:r>
      <w:r>
        <w:rPr>
          <w:rFonts w:hint="eastAsia" w:eastAsia="仿宋_GB2312"/>
          <w:bCs/>
          <w:sz w:val="32"/>
          <w:szCs w:val="32"/>
        </w:rPr>
        <w:t>和</w:t>
      </w:r>
      <w:r>
        <w:rPr>
          <w:rFonts w:eastAsia="仿宋_GB2312"/>
          <w:bCs/>
          <w:sz w:val="32"/>
          <w:szCs w:val="32"/>
        </w:rPr>
        <w:t>名城保护提升项目</w:t>
      </w:r>
      <w:r>
        <w:rPr>
          <w:rFonts w:hint="eastAsia" w:ascii="楷体_GB2312" w:eastAsia="楷体_GB2312"/>
          <w:sz w:val="32"/>
          <w:szCs w:val="32"/>
        </w:rPr>
        <w:t>（省文物局，住房城乡建设厅）</w:t>
      </w:r>
      <w:r>
        <w:rPr>
          <w:rFonts w:eastAsia="仿宋_GB2312"/>
          <w:bCs/>
          <w:sz w:val="32"/>
          <w:szCs w:val="32"/>
        </w:rPr>
        <w:t>。深化文旅名城建设，</w:t>
      </w:r>
      <w:r>
        <w:rPr>
          <w:rFonts w:hint="eastAsia" w:eastAsia="仿宋_GB2312"/>
          <w:bCs/>
          <w:sz w:val="32"/>
          <w:szCs w:val="32"/>
        </w:rPr>
        <w:t>加快建设</w:t>
      </w:r>
      <w:r>
        <w:rPr>
          <w:rFonts w:eastAsia="仿宋_GB2312"/>
          <w:bCs/>
          <w:sz w:val="32"/>
          <w:szCs w:val="32"/>
        </w:rPr>
        <w:t>区域旅游中心城市和特色旅游城市</w:t>
      </w:r>
      <w:r>
        <w:rPr>
          <w:rFonts w:hint="eastAsia" w:ascii="楷体_GB2312" w:eastAsia="楷体_GB2312"/>
          <w:sz w:val="32"/>
          <w:szCs w:val="32"/>
        </w:rPr>
        <w:t>（文化和旅游厅</w:t>
      </w:r>
      <w:r>
        <w:rPr>
          <w:rFonts w:ascii="楷体_GB2312" w:eastAsia="楷体_GB2312"/>
          <w:sz w:val="32"/>
          <w:szCs w:val="32"/>
        </w:rPr>
        <w:t>，</w:t>
      </w:r>
      <w:r>
        <w:rPr>
          <w:rFonts w:hint="eastAsia" w:ascii="楷体_GB2312" w:eastAsia="楷体_GB2312"/>
          <w:sz w:val="32"/>
          <w:szCs w:val="32"/>
        </w:rPr>
        <w:t>省委宣传部</w:t>
      </w:r>
      <w:r>
        <w:rPr>
          <w:rFonts w:ascii="楷体_GB2312" w:eastAsia="楷体_GB2312"/>
          <w:sz w:val="32"/>
          <w:szCs w:val="32"/>
        </w:rPr>
        <w:t>、</w:t>
      </w:r>
      <w:r>
        <w:rPr>
          <w:rFonts w:hint="eastAsia" w:ascii="楷体_GB2312" w:eastAsia="楷体_GB2312"/>
          <w:sz w:val="32"/>
          <w:szCs w:val="32"/>
        </w:rPr>
        <w:t>住房城乡建设厅、省文物局）</w:t>
      </w:r>
      <w:r>
        <w:rPr>
          <w:rFonts w:eastAsia="仿宋_GB2312"/>
          <w:bCs/>
          <w:sz w:val="32"/>
          <w:szCs w:val="32"/>
        </w:rPr>
        <w:t>。</w:t>
      </w:r>
    </w:p>
    <w:p w14:paraId="5C580832">
      <w:pPr>
        <w:overflowPunct w:val="0"/>
        <w:topLinePunct/>
        <w:spacing w:after="0" w:line="600" w:lineRule="exact"/>
        <w:ind w:firstLine="640" w:firstLineChars="200"/>
        <w:jc w:val="both"/>
        <w:rPr>
          <w:rFonts w:eastAsia="楷体_GB2312"/>
          <w:b/>
          <w:bCs/>
          <w:sz w:val="32"/>
          <w:szCs w:val="32"/>
        </w:rPr>
      </w:pPr>
      <w:r>
        <w:rPr>
          <w:rFonts w:eastAsia="楷体_GB2312"/>
          <w:b/>
          <w:bCs/>
          <w:sz w:val="32"/>
          <w:szCs w:val="32"/>
        </w:rPr>
        <w:t>（四）提升城市环境健康安全保障能力</w:t>
      </w:r>
    </w:p>
    <w:p w14:paraId="35B1BF34">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1</w:t>
      </w:r>
      <w:r>
        <w:rPr>
          <w:rFonts w:hint="eastAsia" w:eastAsia="仿宋_GB2312"/>
          <w:b/>
          <w:bCs/>
          <w:sz w:val="32"/>
          <w:szCs w:val="32"/>
        </w:rPr>
        <w:t>．</w:t>
      </w:r>
      <w:r>
        <w:rPr>
          <w:rFonts w:eastAsia="仿宋_GB2312"/>
          <w:b/>
          <w:bCs/>
          <w:sz w:val="32"/>
          <w:szCs w:val="32"/>
        </w:rPr>
        <w:t>加强城市饮用水安全保障</w:t>
      </w:r>
      <w:r>
        <w:rPr>
          <w:rFonts w:eastAsia="仿宋_GB2312"/>
          <w:b/>
          <w:sz w:val="32"/>
          <w:szCs w:val="32"/>
        </w:rPr>
        <w:t>。</w:t>
      </w:r>
      <w:r>
        <w:rPr>
          <w:rFonts w:hint="eastAsia" w:eastAsia="仿宋_GB2312"/>
          <w:sz w:val="32"/>
          <w:szCs w:val="32"/>
        </w:rPr>
        <w:t>持续推进集中式饮用水水源地规范化建设，开展饮用水水源地安全隐患排查和环境问题整治。</w:t>
      </w:r>
      <w:r>
        <w:rPr>
          <w:rFonts w:eastAsia="仿宋_GB2312"/>
          <w:sz w:val="32"/>
          <w:szCs w:val="32"/>
        </w:rPr>
        <w:t>完善重点河流突发水污染事件环境</w:t>
      </w:r>
      <w:r>
        <w:rPr>
          <w:rFonts w:hint="eastAsia" w:ascii="仿宋_GB2312" w:eastAsia="仿宋_GB2312"/>
          <w:sz w:val="32"/>
          <w:szCs w:val="32"/>
        </w:rPr>
        <w:t>应急“一河一策一图”</w:t>
      </w:r>
      <w:r>
        <w:rPr>
          <w:rFonts w:eastAsia="仿宋_GB2312"/>
          <w:sz w:val="32"/>
          <w:szCs w:val="32"/>
        </w:rPr>
        <w:t>，提升饮用水水源地环境风险防范和应急应对能力水平</w:t>
      </w:r>
      <w:r>
        <w:rPr>
          <w:rFonts w:hint="eastAsia" w:ascii="楷体_GB2312" w:eastAsia="楷体_GB2312"/>
          <w:sz w:val="32"/>
          <w:szCs w:val="32"/>
        </w:rPr>
        <w:t>（生态环境厅）</w:t>
      </w:r>
      <w:r>
        <w:rPr>
          <w:rFonts w:eastAsia="仿宋_GB2312"/>
          <w:sz w:val="32"/>
          <w:szCs w:val="32"/>
        </w:rPr>
        <w:t>。</w:t>
      </w:r>
      <w:r>
        <w:rPr>
          <w:rFonts w:hint="eastAsia" w:eastAsia="仿宋_GB2312"/>
          <w:sz w:val="32"/>
          <w:szCs w:val="32"/>
        </w:rPr>
        <w:t>优化城市应急备用水源布局，推动单一水源供水城市应急备用水源及输水工程建设</w:t>
      </w:r>
      <w:r>
        <w:rPr>
          <w:rFonts w:hint="eastAsia" w:ascii="楷体_GB2312" w:eastAsia="楷体_GB2312"/>
          <w:sz w:val="32"/>
          <w:szCs w:val="32"/>
        </w:rPr>
        <w:t>（住房城乡建设厅、水利厅）</w:t>
      </w:r>
      <w:r>
        <w:rPr>
          <w:rFonts w:hint="eastAsia" w:eastAsia="仿宋_GB2312"/>
          <w:sz w:val="32"/>
          <w:szCs w:val="32"/>
        </w:rPr>
        <w:t>。</w:t>
      </w:r>
    </w:p>
    <w:p w14:paraId="33A9AD4E">
      <w:pPr>
        <w:overflowPunct w:val="0"/>
        <w:topLinePunct/>
        <w:spacing w:after="0" w:line="580" w:lineRule="exact"/>
        <w:ind w:firstLine="640" w:firstLineChars="200"/>
        <w:jc w:val="both"/>
        <w:rPr>
          <w:rFonts w:eastAsia="仿宋_GB2312"/>
          <w:sz w:val="32"/>
          <w:szCs w:val="32"/>
        </w:rPr>
      </w:pPr>
      <w:r>
        <w:rPr>
          <w:rFonts w:eastAsia="仿宋_GB2312"/>
          <w:b/>
          <w:bCs/>
          <w:sz w:val="32"/>
          <w:szCs w:val="32"/>
        </w:rPr>
        <w:t>2</w:t>
      </w:r>
      <w:r>
        <w:rPr>
          <w:rFonts w:hint="eastAsia" w:eastAsia="仿宋_GB2312"/>
          <w:b/>
          <w:bCs/>
          <w:sz w:val="32"/>
          <w:szCs w:val="32"/>
        </w:rPr>
        <w:t>．</w:t>
      </w:r>
      <w:r>
        <w:rPr>
          <w:rFonts w:eastAsia="仿宋_GB2312"/>
          <w:b/>
          <w:bCs/>
          <w:sz w:val="32"/>
          <w:szCs w:val="32"/>
        </w:rPr>
        <w:t>强化生态环境风险防控</w:t>
      </w:r>
      <w:r>
        <w:rPr>
          <w:rFonts w:eastAsia="仿宋_GB2312"/>
          <w:b/>
          <w:sz w:val="32"/>
          <w:szCs w:val="32"/>
        </w:rPr>
        <w:t>。</w:t>
      </w:r>
      <w:r>
        <w:rPr>
          <w:rFonts w:hint="eastAsia" w:eastAsia="仿宋_GB2312"/>
          <w:sz w:val="32"/>
          <w:szCs w:val="32"/>
        </w:rPr>
        <w:t>强化危险废物全过程监管，持续开展危险废物物联网建设，推进危险废物</w:t>
      </w:r>
      <w:r>
        <w:rPr>
          <w:rFonts w:eastAsia="仿宋_GB2312"/>
          <w:sz w:val="32"/>
          <w:szCs w:val="32"/>
        </w:rPr>
        <w:t>产生单</w:t>
      </w:r>
      <w:r>
        <w:rPr>
          <w:rFonts w:hint="eastAsia" w:ascii="仿宋_GB2312" w:eastAsia="仿宋_GB2312"/>
          <w:sz w:val="32"/>
          <w:szCs w:val="32"/>
        </w:rPr>
        <w:t>位“五即”规</w:t>
      </w:r>
      <w:r>
        <w:rPr>
          <w:rFonts w:hint="eastAsia" w:eastAsia="仿宋_GB2312"/>
          <w:sz w:val="32"/>
          <w:szCs w:val="32"/>
        </w:rPr>
        <w:t>范化建设，因地制宜推动危险废物利用处置设施提标改造</w:t>
      </w:r>
      <w:r>
        <w:rPr>
          <w:rFonts w:hint="eastAsia" w:ascii="楷体_GB2312" w:eastAsia="楷体_GB2312"/>
          <w:sz w:val="32"/>
          <w:szCs w:val="32"/>
        </w:rPr>
        <w:t>（生态环境厅）</w:t>
      </w:r>
      <w:r>
        <w:rPr>
          <w:rFonts w:hint="eastAsia" w:eastAsia="仿宋_GB2312"/>
          <w:sz w:val="32"/>
          <w:szCs w:val="32"/>
        </w:rPr>
        <w:t>。开展国家环境健康管理试点工作，提升居民生态环境健康素养</w:t>
      </w:r>
      <w:r>
        <w:rPr>
          <w:rFonts w:hint="eastAsia" w:ascii="楷体_GB2312" w:eastAsia="楷体_GB2312"/>
          <w:sz w:val="32"/>
          <w:szCs w:val="32"/>
        </w:rPr>
        <w:t>（生态环境厅）</w:t>
      </w:r>
      <w:r>
        <w:rPr>
          <w:rFonts w:hint="eastAsia" w:eastAsia="仿宋_GB2312"/>
          <w:sz w:val="32"/>
          <w:szCs w:val="32"/>
        </w:rPr>
        <w:t>。建立完善电磁辐射环境监测体系，强化电磁辐射污染防治</w:t>
      </w:r>
      <w:r>
        <w:rPr>
          <w:rFonts w:hint="eastAsia" w:ascii="楷体_GB2312" w:eastAsia="楷体_GB2312"/>
          <w:sz w:val="32"/>
          <w:szCs w:val="32"/>
        </w:rPr>
        <w:t>（生态环境厅）</w:t>
      </w:r>
      <w:r>
        <w:rPr>
          <w:rFonts w:hint="eastAsia" w:eastAsia="仿宋_GB2312"/>
          <w:sz w:val="32"/>
          <w:szCs w:val="32"/>
        </w:rPr>
        <w:t>。</w:t>
      </w:r>
    </w:p>
    <w:p w14:paraId="3096AEC3">
      <w:pPr>
        <w:overflowPunct w:val="0"/>
        <w:topLinePunct/>
        <w:spacing w:after="0" w:line="580" w:lineRule="exact"/>
        <w:ind w:firstLine="640" w:firstLineChars="200"/>
        <w:jc w:val="both"/>
        <w:rPr>
          <w:rFonts w:eastAsia="仿宋_GB2312"/>
          <w:sz w:val="32"/>
          <w:szCs w:val="32"/>
        </w:rPr>
      </w:pPr>
      <w:r>
        <w:rPr>
          <w:rFonts w:eastAsia="仿宋_GB2312"/>
          <w:b/>
          <w:bCs/>
          <w:sz w:val="32"/>
          <w:szCs w:val="32"/>
        </w:rPr>
        <w:t>3</w:t>
      </w:r>
      <w:r>
        <w:rPr>
          <w:rFonts w:hint="eastAsia" w:eastAsia="仿宋_GB2312"/>
          <w:b/>
          <w:bCs/>
          <w:sz w:val="32"/>
          <w:szCs w:val="32"/>
        </w:rPr>
        <w:t>．加强新污染物环境风险管控。</w:t>
      </w:r>
      <w:r>
        <w:rPr>
          <w:rFonts w:hint="eastAsia" w:eastAsia="仿宋_GB2312"/>
          <w:sz w:val="32"/>
          <w:szCs w:val="32"/>
        </w:rPr>
        <w:t>将有毒有害化学物质环境调查纳入新污染物川渝联合调查重点，健全城市源新污染物协同治理和风险防控体系</w:t>
      </w:r>
      <w:r>
        <w:rPr>
          <w:rFonts w:hint="eastAsia" w:ascii="楷体_GB2312" w:eastAsia="楷体_GB2312"/>
          <w:sz w:val="32"/>
          <w:szCs w:val="32"/>
        </w:rPr>
        <w:t>（生态环境厅）</w:t>
      </w:r>
      <w:r>
        <w:rPr>
          <w:rFonts w:hint="eastAsia" w:eastAsia="仿宋_GB2312"/>
          <w:sz w:val="32"/>
          <w:szCs w:val="32"/>
        </w:rPr>
        <w:t>。探索实施生活污水处理厂、医疗机构、自来水厂抗生素等新污染物治理提标改造工程</w:t>
      </w:r>
      <w:r>
        <w:rPr>
          <w:rFonts w:hint="eastAsia" w:ascii="楷体_GB2312" w:eastAsia="楷体_GB2312"/>
          <w:sz w:val="32"/>
          <w:szCs w:val="32"/>
        </w:rPr>
        <w:t>（住房城乡建设厅，</w:t>
      </w:r>
      <w:r>
        <w:rPr>
          <w:rFonts w:ascii="楷体_GB2312" w:eastAsia="楷体_GB2312"/>
          <w:sz w:val="32"/>
          <w:szCs w:val="32"/>
        </w:rPr>
        <w:t>省</w:t>
      </w:r>
      <w:r>
        <w:rPr>
          <w:rFonts w:hint="eastAsia" w:ascii="楷体_GB2312" w:eastAsia="楷体_GB2312"/>
          <w:sz w:val="32"/>
          <w:szCs w:val="32"/>
        </w:rPr>
        <w:t>卫生</w:t>
      </w:r>
      <w:r>
        <w:rPr>
          <w:rFonts w:ascii="楷体_GB2312" w:eastAsia="楷体_GB2312"/>
          <w:sz w:val="32"/>
          <w:szCs w:val="32"/>
        </w:rPr>
        <w:t>健康委</w:t>
      </w:r>
      <w:r>
        <w:rPr>
          <w:rFonts w:hint="eastAsia" w:ascii="楷体_GB2312" w:eastAsia="楷体_GB2312"/>
          <w:sz w:val="32"/>
          <w:szCs w:val="32"/>
        </w:rPr>
        <w:t>、</w:t>
      </w:r>
      <w:r>
        <w:rPr>
          <w:rFonts w:ascii="楷体_GB2312" w:eastAsia="楷体_GB2312"/>
          <w:sz w:val="32"/>
          <w:szCs w:val="32"/>
        </w:rPr>
        <w:t>生态环境厅</w:t>
      </w:r>
      <w:r>
        <w:rPr>
          <w:rFonts w:hint="eastAsia" w:ascii="楷体_GB2312" w:eastAsia="楷体_GB2312"/>
          <w:sz w:val="32"/>
          <w:szCs w:val="32"/>
        </w:rPr>
        <w:t>）</w:t>
      </w:r>
      <w:r>
        <w:rPr>
          <w:rFonts w:hint="eastAsia" w:eastAsia="仿宋_GB2312"/>
          <w:sz w:val="32"/>
          <w:szCs w:val="32"/>
        </w:rPr>
        <w:t>。将新污染物治理纳入城市更新行动、健康维护和促进范畴</w:t>
      </w:r>
      <w:r>
        <w:rPr>
          <w:rFonts w:hint="eastAsia" w:ascii="楷体_GB2312" w:eastAsia="楷体_GB2312"/>
          <w:sz w:val="32"/>
          <w:szCs w:val="32"/>
        </w:rPr>
        <w:t>（住房城乡建设厅、</w:t>
      </w:r>
      <w:r>
        <w:rPr>
          <w:rFonts w:ascii="楷体_GB2312" w:eastAsia="楷体_GB2312"/>
          <w:sz w:val="32"/>
          <w:szCs w:val="32"/>
        </w:rPr>
        <w:t>省卫生健康委</w:t>
      </w:r>
      <w:r>
        <w:rPr>
          <w:rFonts w:hint="eastAsia" w:ascii="楷体_GB2312" w:eastAsia="楷体_GB2312"/>
          <w:sz w:val="32"/>
          <w:szCs w:val="32"/>
        </w:rPr>
        <w:t>）</w:t>
      </w:r>
      <w:r>
        <w:rPr>
          <w:rFonts w:hint="eastAsia" w:eastAsia="仿宋_GB2312"/>
          <w:sz w:val="32"/>
          <w:szCs w:val="32"/>
        </w:rPr>
        <w:t>，强化城市新污染物治理基础研究和科技创新</w:t>
      </w:r>
      <w:r>
        <w:rPr>
          <w:rFonts w:hint="eastAsia" w:ascii="楷体_GB2312" w:eastAsia="楷体_GB2312"/>
          <w:sz w:val="32"/>
          <w:szCs w:val="32"/>
        </w:rPr>
        <w:t>（</w:t>
      </w:r>
      <w:r>
        <w:rPr>
          <w:rFonts w:ascii="楷体_GB2312" w:eastAsia="楷体_GB2312"/>
          <w:sz w:val="32"/>
          <w:szCs w:val="32"/>
        </w:rPr>
        <w:t>科技厅</w:t>
      </w:r>
      <w:r>
        <w:rPr>
          <w:rFonts w:hint="eastAsia" w:ascii="楷体_GB2312" w:eastAsia="楷体_GB2312"/>
          <w:sz w:val="32"/>
          <w:szCs w:val="32"/>
        </w:rPr>
        <w:t>）</w:t>
      </w:r>
      <w:r>
        <w:rPr>
          <w:rFonts w:hint="eastAsia" w:eastAsia="仿宋_GB2312"/>
          <w:sz w:val="32"/>
          <w:szCs w:val="32"/>
        </w:rPr>
        <w:t>。</w:t>
      </w:r>
    </w:p>
    <w:p w14:paraId="3221ABF7">
      <w:pPr>
        <w:overflowPunct w:val="0"/>
        <w:topLinePunct/>
        <w:spacing w:after="0" w:line="580" w:lineRule="exact"/>
        <w:ind w:firstLine="640" w:firstLineChars="200"/>
        <w:jc w:val="both"/>
        <w:rPr>
          <w:rFonts w:eastAsia="仿宋_GB2312"/>
          <w:sz w:val="32"/>
          <w:szCs w:val="32"/>
        </w:rPr>
      </w:pPr>
      <w:r>
        <w:rPr>
          <w:rFonts w:hint="eastAsia" w:eastAsia="仿宋_GB2312"/>
          <w:b/>
          <w:bCs/>
          <w:sz w:val="32"/>
          <w:szCs w:val="32"/>
        </w:rPr>
        <w:t>4．</w:t>
      </w:r>
      <w:bookmarkStart w:id="3" w:name="OLE_LINK2"/>
      <w:bookmarkStart w:id="4" w:name="OLE_LINK1"/>
      <w:r>
        <w:rPr>
          <w:rFonts w:eastAsia="仿宋_GB2312"/>
          <w:b/>
          <w:bCs/>
          <w:sz w:val="32"/>
          <w:szCs w:val="32"/>
        </w:rPr>
        <w:t>提升城市适应气候变化能力</w:t>
      </w:r>
      <w:bookmarkEnd w:id="3"/>
      <w:bookmarkEnd w:id="4"/>
      <w:r>
        <w:rPr>
          <w:rFonts w:eastAsia="仿宋_GB2312"/>
          <w:b/>
          <w:sz w:val="32"/>
          <w:szCs w:val="32"/>
        </w:rPr>
        <w:t>。</w:t>
      </w:r>
      <w:r>
        <w:rPr>
          <w:rFonts w:eastAsia="仿宋_GB2312"/>
          <w:sz w:val="32"/>
          <w:szCs w:val="32"/>
        </w:rPr>
        <w:t>加强城市气候变化风险和灾害隐患识别评估，推进气候变化监测预警和风险管理能力建设</w:t>
      </w:r>
      <w:r>
        <w:rPr>
          <w:rFonts w:hint="eastAsia" w:ascii="楷体_GB2312" w:eastAsia="楷体_GB2312"/>
          <w:sz w:val="32"/>
          <w:szCs w:val="32"/>
        </w:rPr>
        <w:t>（省气象局）</w:t>
      </w:r>
      <w:r>
        <w:rPr>
          <w:rFonts w:hint="eastAsia" w:eastAsia="仿宋_GB2312"/>
          <w:sz w:val="32"/>
          <w:szCs w:val="32"/>
        </w:rPr>
        <w:t>。系统构建</w:t>
      </w:r>
      <w:r>
        <w:rPr>
          <w:rFonts w:eastAsia="仿宋_GB2312"/>
          <w:sz w:val="32"/>
          <w:szCs w:val="32"/>
        </w:rPr>
        <w:t>韧性城市</w:t>
      </w:r>
      <w:r>
        <w:rPr>
          <w:rFonts w:hint="eastAsia" w:eastAsia="仿宋_GB2312"/>
          <w:sz w:val="32"/>
          <w:szCs w:val="32"/>
        </w:rPr>
        <w:t>，</w:t>
      </w:r>
      <w:r>
        <w:rPr>
          <w:rFonts w:eastAsia="仿宋_GB2312"/>
          <w:sz w:val="32"/>
          <w:szCs w:val="32"/>
        </w:rPr>
        <w:t>开展城市交通、防灾避险等基础设施气候适应型改造</w:t>
      </w:r>
      <w:r>
        <w:rPr>
          <w:rFonts w:hint="eastAsia" w:ascii="楷体_GB2312" w:eastAsia="楷体_GB2312"/>
          <w:sz w:val="32"/>
          <w:szCs w:val="32"/>
        </w:rPr>
        <w:t>（住房城乡建设厅，</w:t>
      </w:r>
      <w:r>
        <w:rPr>
          <w:rFonts w:ascii="楷体_GB2312" w:eastAsia="楷体_GB2312"/>
          <w:sz w:val="32"/>
          <w:szCs w:val="32"/>
        </w:rPr>
        <w:t>交通运输厅、应急管理</w:t>
      </w:r>
      <w:r>
        <w:rPr>
          <w:rFonts w:hint="eastAsia" w:ascii="楷体_GB2312" w:eastAsia="楷体_GB2312"/>
          <w:sz w:val="32"/>
          <w:szCs w:val="32"/>
        </w:rPr>
        <w:t>厅）</w:t>
      </w:r>
      <w:r>
        <w:rPr>
          <w:rFonts w:hint="eastAsia" w:eastAsia="仿宋_GB2312"/>
          <w:sz w:val="32"/>
          <w:szCs w:val="32"/>
        </w:rPr>
        <w:t>。</w:t>
      </w:r>
      <w:r>
        <w:rPr>
          <w:rFonts w:eastAsia="仿宋_GB2312"/>
          <w:sz w:val="32"/>
          <w:szCs w:val="32"/>
        </w:rPr>
        <w:t>深化气候适应型城市建设试点</w:t>
      </w:r>
      <w:r>
        <w:rPr>
          <w:rFonts w:hint="eastAsia" w:ascii="楷体_GB2312" w:eastAsia="楷体_GB2312"/>
          <w:sz w:val="32"/>
          <w:szCs w:val="32"/>
        </w:rPr>
        <w:t>（生态环境厅）</w:t>
      </w:r>
      <w:r>
        <w:rPr>
          <w:rFonts w:eastAsia="仿宋_GB2312"/>
          <w:sz w:val="32"/>
          <w:szCs w:val="32"/>
        </w:rPr>
        <w:t>。</w:t>
      </w:r>
      <w:r>
        <w:rPr>
          <w:rFonts w:hint="eastAsia" w:eastAsia="仿宋_GB2312"/>
          <w:sz w:val="32"/>
          <w:szCs w:val="32"/>
        </w:rPr>
        <w:t>系统化</w:t>
      </w:r>
      <w:r>
        <w:rPr>
          <w:rFonts w:eastAsia="仿宋_GB2312"/>
          <w:sz w:val="32"/>
          <w:szCs w:val="32"/>
        </w:rPr>
        <w:t>全域推进海绵城市建设，划定城市洪涝风险控制线，推动成都、南充等国省应急排涝基地建设</w:t>
      </w:r>
      <w:r>
        <w:rPr>
          <w:rFonts w:hint="eastAsia" w:ascii="楷体_GB2312" w:eastAsia="楷体_GB2312"/>
          <w:sz w:val="32"/>
          <w:szCs w:val="32"/>
        </w:rPr>
        <w:t>（住房城乡</w:t>
      </w:r>
      <w:r>
        <w:rPr>
          <w:rFonts w:ascii="楷体_GB2312" w:eastAsia="楷体_GB2312"/>
          <w:sz w:val="32"/>
          <w:szCs w:val="32"/>
        </w:rPr>
        <w:t>建设厅</w:t>
      </w:r>
      <w:r>
        <w:rPr>
          <w:rFonts w:hint="eastAsia" w:ascii="楷体_GB2312" w:eastAsia="楷体_GB2312"/>
          <w:sz w:val="32"/>
          <w:szCs w:val="32"/>
        </w:rPr>
        <w:t>）</w:t>
      </w:r>
      <w:r>
        <w:rPr>
          <w:rFonts w:eastAsia="仿宋_GB2312"/>
          <w:sz w:val="32"/>
          <w:szCs w:val="32"/>
        </w:rPr>
        <w:t>。</w:t>
      </w:r>
    </w:p>
    <w:p w14:paraId="60432456">
      <w:pPr>
        <w:overflowPunct w:val="0"/>
        <w:topLinePunct/>
        <w:spacing w:after="0" w:line="580" w:lineRule="exact"/>
        <w:ind w:firstLine="640" w:firstLineChars="200"/>
        <w:jc w:val="both"/>
        <w:rPr>
          <w:rFonts w:eastAsia="楷体_GB2312"/>
          <w:b/>
          <w:bCs/>
          <w:sz w:val="32"/>
          <w:szCs w:val="32"/>
        </w:rPr>
      </w:pPr>
      <w:r>
        <w:rPr>
          <w:rFonts w:eastAsia="楷体_GB2312"/>
          <w:b/>
          <w:bCs/>
          <w:sz w:val="32"/>
          <w:szCs w:val="32"/>
        </w:rPr>
        <w:t>（五）提升城市数智治理效能</w:t>
      </w:r>
    </w:p>
    <w:p w14:paraId="5943B95C">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1</w:t>
      </w:r>
      <w:r>
        <w:rPr>
          <w:rFonts w:hint="eastAsia" w:eastAsia="仿宋_GB2312"/>
          <w:b/>
          <w:bCs/>
          <w:sz w:val="32"/>
          <w:szCs w:val="32"/>
        </w:rPr>
        <w:t>．</w:t>
      </w:r>
      <w:r>
        <w:rPr>
          <w:rFonts w:eastAsia="仿宋_GB2312"/>
          <w:b/>
          <w:bCs/>
          <w:sz w:val="32"/>
          <w:szCs w:val="32"/>
        </w:rPr>
        <w:t>提高城市治理数字化水平</w:t>
      </w:r>
      <w:r>
        <w:rPr>
          <w:rFonts w:eastAsia="仿宋_GB2312"/>
          <w:b/>
          <w:sz w:val="32"/>
          <w:szCs w:val="32"/>
        </w:rPr>
        <w:t>。</w:t>
      </w:r>
      <w:r>
        <w:rPr>
          <w:rFonts w:eastAsia="仿宋_GB2312"/>
          <w:sz w:val="32"/>
          <w:szCs w:val="32"/>
        </w:rPr>
        <w:t>加强城市生态环境智慧治理，探索构建多跨协同的生态环境治理场景，推动生态环境领域数据平台与城市智能中枢等共性支撑平台互联互通</w:t>
      </w:r>
      <w:r>
        <w:rPr>
          <w:rFonts w:hint="eastAsia" w:ascii="楷体_GB2312" w:eastAsia="楷体_GB2312"/>
          <w:sz w:val="32"/>
          <w:szCs w:val="32"/>
        </w:rPr>
        <w:t>（生态环境厅）</w:t>
      </w:r>
      <w:r>
        <w:rPr>
          <w:rFonts w:eastAsia="仿宋_GB2312"/>
          <w:sz w:val="32"/>
          <w:szCs w:val="32"/>
        </w:rPr>
        <w:t>。深化实景三维四川建设，拓展自然资源管理和国土空间</w:t>
      </w:r>
      <w:r>
        <w:rPr>
          <w:rFonts w:hint="eastAsia" w:ascii="仿宋_GB2312" w:eastAsia="仿宋_GB2312"/>
          <w:sz w:val="32"/>
          <w:szCs w:val="32"/>
        </w:rPr>
        <w:t>规划“一张图”功</w:t>
      </w:r>
      <w:r>
        <w:rPr>
          <w:rFonts w:eastAsia="仿宋_GB2312"/>
          <w:sz w:val="32"/>
          <w:szCs w:val="32"/>
        </w:rPr>
        <w:t>能</w:t>
      </w:r>
      <w:r>
        <w:rPr>
          <w:rFonts w:eastAsia="楷体_GB2312"/>
          <w:sz w:val="32"/>
          <w:szCs w:val="32"/>
        </w:rPr>
        <w:t>（自然资源厅）</w:t>
      </w:r>
      <w:r>
        <w:rPr>
          <w:rFonts w:eastAsia="仿宋_GB2312"/>
          <w:sz w:val="32"/>
          <w:szCs w:val="32"/>
        </w:rPr>
        <w:t>。推动数字住建建设，推进城市信息模型平台建设</w:t>
      </w:r>
      <w:r>
        <w:rPr>
          <w:rFonts w:eastAsia="楷体_GB2312"/>
          <w:sz w:val="32"/>
          <w:szCs w:val="32"/>
        </w:rPr>
        <w:t>（住</w:t>
      </w:r>
      <w:r>
        <w:rPr>
          <w:rFonts w:hint="eastAsia" w:ascii="楷体_GB2312" w:eastAsia="楷体_GB2312"/>
          <w:sz w:val="32"/>
          <w:szCs w:val="32"/>
        </w:rPr>
        <w:t>房城乡</w:t>
      </w:r>
      <w:r>
        <w:rPr>
          <w:rFonts w:ascii="楷体_GB2312" w:eastAsia="楷体_GB2312"/>
          <w:sz w:val="32"/>
          <w:szCs w:val="32"/>
        </w:rPr>
        <w:t>建设厅</w:t>
      </w:r>
      <w:r>
        <w:rPr>
          <w:rFonts w:hint="eastAsia" w:ascii="楷体_GB2312" w:eastAsia="楷体_GB2312"/>
          <w:sz w:val="32"/>
          <w:szCs w:val="32"/>
        </w:rPr>
        <w:t>）</w:t>
      </w:r>
      <w:r>
        <w:rPr>
          <w:rFonts w:hint="eastAsia" w:eastAsia="仿宋_GB2312"/>
          <w:sz w:val="32"/>
          <w:szCs w:val="32"/>
        </w:rPr>
        <w:t>，支持宜宾建设长江上游区域大数据产业中心</w:t>
      </w:r>
      <w:r>
        <w:rPr>
          <w:rFonts w:hint="eastAsia" w:ascii="宋体" w:hAnsi="宋体"/>
          <w:sz w:val="32"/>
          <w:szCs w:val="32"/>
        </w:rPr>
        <w:t>﹝</w:t>
      </w:r>
      <w:r>
        <w:rPr>
          <w:rFonts w:hint="eastAsia" w:ascii="楷体_GB2312" w:eastAsia="楷体_GB2312"/>
          <w:sz w:val="32"/>
          <w:szCs w:val="32"/>
        </w:rPr>
        <w:t>省发展改革委（省数据局）</w:t>
      </w:r>
      <w:r>
        <w:rPr>
          <w:rFonts w:hint="eastAsia" w:ascii="宋体" w:hAnsi="宋体"/>
          <w:sz w:val="32"/>
          <w:szCs w:val="32"/>
        </w:rPr>
        <w:t>﹞</w:t>
      </w:r>
      <w:r>
        <w:rPr>
          <w:rFonts w:eastAsia="仿宋_GB2312"/>
          <w:sz w:val="32"/>
          <w:szCs w:val="32"/>
        </w:rPr>
        <w:t>。</w:t>
      </w:r>
    </w:p>
    <w:p w14:paraId="1509F5FE">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2</w:t>
      </w:r>
      <w:r>
        <w:rPr>
          <w:rFonts w:hint="eastAsia" w:eastAsia="仿宋_GB2312"/>
          <w:b/>
          <w:bCs/>
          <w:sz w:val="32"/>
          <w:szCs w:val="32"/>
        </w:rPr>
        <w:t>．</w:t>
      </w:r>
      <w:r>
        <w:rPr>
          <w:rFonts w:eastAsia="仿宋_GB2312"/>
          <w:b/>
          <w:bCs/>
          <w:sz w:val="32"/>
          <w:szCs w:val="32"/>
        </w:rPr>
        <w:t>建立现代化生态环境监测体系</w:t>
      </w:r>
      <w:r>
        <w:rPr>
          <w:rFonts w:eastAsia="仿宋_GB2312"/>
          <w:b/>
          <w:sz w:val="32"/>
          <w:szCs w:val="32"/>
        </w:rPr>
        <w:t>。</w:t>
      </w:r>
      <w:r>
        <w:rPr>
          <w:rFonts w:eastAsia="仿宋_GB2312"/>
          <w:sz w:val="32"/>
          <w:szCs w:val="32"/>
        </w:rPr>
        <w:t>持续完善全要素、全地域生态环境监测网络，推进数字化技术在生态环境监测全链条</w:t>
      </w:r>
      <w:r>
        <w:rPr>
          <w:rFonts w:hint="eastAsia" w:eastAsia="仿宋_GB2312"/>
          <w:sz w:val="32"/>
          <w:szCs w:val="32"/>
        </w:rPr>
        <w:t>中的深度</w:t>
      </w:r>
      <w:r>
        <w:rPr>
          <w:rFonts w:eastAsia="仿宋_GB2312"/>
          <w:sz w:val="32"/>
          <w:szCs w:val="32"/>
        </w:rPr>
        <w:t>应用，建立生态环境监测治理体系贯通机制，构建科学先进、系统完整的现代化监测技术体系，加快补齐新污染物监测、</w:t>
      </w:r>
      <w:r>
        <w:rPr>
          <w:rFonts w:hint="eastAsia" w:eastAsia="仿宋_GB2312"/>
          <w:sz w:val="32"/>
          <w:szCs w:val="32"/>
        </w:rPr>
        <w:t>水生态监测</w:t>
      </w:r>
      <w:r>
        <w:rPr>
          <w:rFonts w:eastAsia="仿宋_GB2312"/>
          <w:sz w:val="32"/>
          <w:szCs w:val="32"/>
        </w:rPr>
        <w:t>等领域短板，实现智慧高效生态环境数字化监测。</w:t>
      </w:r>
      <w:r>
        <w:rPr>
          <w:rFonts w:hint="eastAsia" w:ascii="楷体_GB2312" w:eastAsia="楷体_GB2312"/>
          <w:sz w:val="32"/>
          <w:szCs w:val="32"/>
        </w:rPr>
        <w:t>（生态环境厅，自然资源厅、水利厅、省林草局）</w:t>
      </w:r>
      <w:r>
        <w:rPr>
          <w:rFonts w:eastAsia="仿宋_GB2312"/>
          <w:sz w:val="32"/>
          <w:szCs w:val="32"/>
        </w:rPr>
        <w:t>。</w:t>
      </w:r>
    </w:p>
    <w:p w14:paraId="1F42033E">
      <w:pPr>
        <w:overflowPunct w:val="0"/>
        <w:topLinePunct/>
        <w:spacing w:after="0" w:line="600" w:lineRule="exact"/>
        <w:ind w:firstLine="640" w:firstLineChars="200"/>
        <w:jc w:val="both"/>
        <w:rPr>
          <w:rFonts w:eastAsia="仿宋_GB2312"/>
          <w:sz w:val="32"/>
          <w:szCs w:val="32"/>
        </w:rPr>
      </w:pPr>
      <w:r>
        <w:rPr>
          <w:rFonts w:eastAsia="仿宋_GB2312"/>
          <w:b/>
          <w:bCs/>
          <w:sz w:val="32"/>
          <w:szCs w:val="32"/>
        </w:rPr>
        <w:t>3</w:t>
      </w:r>
      <w:r>
        <w:rPr>
          <w:rFonts w:hint="eastAsia" w:eastAsia="仿宋_GB2312"/>
          <w:b/>
          <w:bCs/>
          <w:sz w:val="32"/>
          <w:szCs w:val="32"/>
        </w:rPr>
        <w:t>．</w:t>
      </w:r>
      <w:r>
        <w:rPr>
          <w:rFonts w:eastAsia="仿宋_GB2312"/>
          <w:b/>
          <w:bCs/>
          <w:sz w:val="32"/>
          <w:szCs w:val="32"/>
        </w:rPr>
        <w:t>推进城市基础设施设备更新</w:t>
      </w:r>
      <w:r>
        <w:rPr>
          <w:rFonts w:eastAsia="仿宋_GB2312"/>
          <w:b/>
          <w:sz w:val="32"/>
          <w:szCs w:val="32"/>
        </w:rPr>
        <w:t>。</w:t>
      </w:r>
      <w:r>
        <w:rPr>
          <w:rFonts w:hint="eastAsia" w:eastAsia="仿宋_GB2312"/>
          <w:sz w:val="32"/>
          <w:szCs w:val="32"/>
        </w:rPr>
        <w:t>加快推进城市基础设施生命线工程建设，科学布设安全可靠、高效适用的物联智能感知设备，推动智慧住区建设，结合完整社区建设，实施城市社区嵌入式服务设施建设工程</w:t>
      </w:r>
      <w:r>
        <w:rPr>
          <w:rFonts w:hint="eastAsia" w:ascii="楷体_GB2312" w:eastAsia="楷体_GB2312"/>
          <w:sz w:val="32"/>
          <w:szCs w:val="32"/>
        </w:rPr>
        <w:t>（住房城乡</w:t>
      </w:r>
      <w:r>
        <w:rPr>
          <w:rFonts w:ascii="楷体_GB2312" w:eastAsia="楷体_GB2312"/>
          <w:sz w:val="32"/>
          <w:szCs w:val="32"/>
        </w:rPr>
        <w:t>建设厅</w:t>
      </w:r>
      <w:r>
        <w:rPr>
          <w:rFonts w:hint="eastAsia" w:ascii="楷体_GB2312" w:eastAsia="楷体_GB2312"/>
          <w:sz w:val="32"/>
          <w:szCs w:val="32"/>
        </w:rPr>
        <w:t>）</w:t>
      </w:r>
      <w:r>
        <w:rPr>
          <w:rFonts w:eastAsia="仿宋_GB2312"/>
          <w:sz w:val="32"/>
          <w:szCs w:val="32"/>
        </w:rPr>
        <w:t>。推进城市智能停车设施与智能有序充电基础设施建设</w:t>
      </w:r>
      <w:r>
        <w:rPr>
          <w:rFonts w:hint="eastAsia" w:ascii="宋体" w:hAnsi="宋体"/>
          <w:sz w:val="32"/>
          <w:szCs w:val="32"/>
        </w:rPr>
        <w:t>﹝</w:t>
      </w:r>
      <w:r>
        <w:rPr>
          <w:rFonts w:hint="eastAsia" w:ascii="楷体_GB2312" w:eastAsia="楷体_GB2312"/>
          <w:sz w:val="32"/>
          <w:szCs w:val="32"/>
        </w:rPr>
        <w:t>住房城乡</w:t>
      </w:r>
      <w:r>
        <w:rPr>
          <w:rFonts w:ascii="楷体_GB2312" w:eastAsia="楷体_GB2312"/>
          <w:sz w:val="32"/>
          <w:szCs w:val="32"/>
        </w:rPr>
        <w:t>建设厅</w:t>
      </w:r>
      <w:r>
        <w:rPr>
          <w:rFonts w:hint="eastAsia" w:ascii="楷体_GB2312" w:eastAsia="楷体_GB2312"/>
          <w:sz w:val="32"/>
          <w:szCs w:val="32"/>
        </w:rPr>
        <w:t>、省</w:t>
      </w:r>
      <w:r>
        <w:rPr>
          <w:rFonts w:ascii="楷体_GB2312" w:eastAsia="楷体_GB2312"/>
          <w:sz w:val="32"/>
          <w:szCs w:val="32"/>
        </w:rPr>
        <w:t>发展改革委（</w:t>
      </w:r>
      <w:r>
        <w:rPr>
          <w:rFonts w:hint="eastAsia" w:ascii="楷体_GB2312" w:eastAsia="楷体_GB2312"/>
          <w:sz w:val="32"/>
          <w:szCs w:val="32"/>
        </w:rPr>
        <w:t>省能源局</w:t>
      </w:r>
      <w:r>
        <w:rPr>
          <w:rFonts w:ascii="楷体_GB2312" w:eastAsia="楷体_GB2312"/>
          <w:sz w:val="32"/>
          <w:szCs w:val="32"/>
        </w:rPr>
        <w:t>）</w:t>
      </w:r>
      <w:r>
        <w:rPr>
          <w:rFonts w:hint="eastAsia" w:ascii="宋体" w:hAnsi="宋体"/>
          <w:sz w:val="32"/>
          <w:szCs w:val="32"/>
        </w:rPr>
        <w:t>﹞</w:t>
      </w:r>
      <w:r>
        <w:rPr>
          <w:rFonts w:eastAsia="仿宋_GB2312"/>
          <w:sz w:val="32"/>
          <w:szCs w:val="32"/>
        </w:rPr>
        <w:t>。</w:t>
      </w:r>
    </w:p>
    <w:p w14:paraId="5C9375DA">
      <w:pPr>
        <w:overflowPunct w:val="0"/>
        <w:topLinePunct/>
        <w:spacing w:after="0" w:line="600" w:lineRule="exact"/>
        <w:ind w:firstLine="640" w:firstLineChars="200"/>
        <w:jc w:val="both"/>
        <w:outlineLvl w:val="0"/>
        <w:rPr>
          <w:rFonts w:eastAsia="黑体"/>
          <w:sz w:val="32"/>
          <w:szCs w:val="32"/>
        </w:rPr>
      </w:pPr>
      <w:r>
        <w:rPr>
          <w:rFonts w:eastAsia="黑体"/>
          <w:sz w:val="32"/>
          <w:szCs w:val="32"/>
        </w:rPr>
        <w:t>三、组织实施</w:t>
      </w:r>
    </w:p>
    <w:p w14:paraId="0E593CAD">
      <w:pPr>
        <w:overflowPunct w:val="0"/>
        <w:topLinePunct/>
        <w:spacing w:after="0" w:line="600" w:lineRule="exact"/>
        <w:ind w:firstLine="640" w:firstLineChars="200"/>
        <w:jc w:val="both"/>
        <w:rPr>
          <w:rFonts w:eastAsia="仿宋_GB2312"/>
          <w:sz w:val="32"/>
          <w:szCs w:val="32"/>
        </w:rPr>
      </w:pPr>
      <w:r>
        <w:rPr>
          <w:rFonts w:eastAsia="楷体_GB2312"/>
          <w:b/>
          <w:bCs/>
          <w:sz w:val="32"/>
          <w:szCs w:val="32"/>
        </w:rPr>
        <w:t>（一）加强组织领导。</w:t>
      </w:r>
      <w:r>
        <w:rPr>
          <w:rFonts w:eastAsia="仿宋_GB2312"/>
          <w:sz w:val="32"/>
          <w:szCs w:val="32"/>
        </w:rPr>
        <w:t>美丽城市建设以</w:t>
      </w:r>
      <w:r>
        <w:rPr>
          <w:rFonts w:hint="eastAsia" w:eastAsia="仿宋_GB2312"/>
          <w:sz w:val="32"/>
          <w:szCs w:val="32"/>
        </w:rPr>
        <w:t>设市</w:t>
      </w:r>
      <w:r>
        <w:rPr>
          <w:rFonts w:eastAsia="仿宋_GB2312"/>
          <w:sz w:val="32"/>
          <w:szCs w:val="32"/>
        </w:rPr>
        <w:t>城市为主体，地方人民政府负总责，</w:t>
      </w:r>
      <w:r>
        <w:rPr>
          <w:rFonts w:hint="eastAsia" w:eastAsia="仿宋_GB2312"/>
          <w:sz w:val="32"/>
          <w:szCs w:val="32"/>
        </w:rPr>
        <w:t>建立具有</w:t>
      </w:r>
      <w:r>
        <w:rPr>
          <w:rFonts w:eastAsia="仿宋_GB2312"/>
          <w:sz w:val="32"/>
          <w:szCs w:val="32"/>
        </w:rPr>
        <w:t>地方</w:t>
      </w:r>
      <w:r>
        <w:rPr>
          <w:rFonts w:hint="eastAsia" w:eastAsia="仿宋_GB2312"/>
          <w:sz w:val="32"/>
          <w:szCs w:val="32"/>
        </w:rPr>
        <w:t>特色的指标体系，明确目标任务，强化全过程管理</w:t>
      </w:r>
      <w:r>
        <w:rPr>
          <w:rFonts w:eastAsia="仿宋_GB2312"/>
          <w:sz w:val="32"/>
          <w:szCs w:val="32"/>
        </w:rPr>
        <w:t>。生态环境厅会同有关部门加强指导</w:t>
      </w:r>
      <w:r>
        <w:rPr>
          <w:rFonts w:hint="eastAsia" w:eastAsia="仿宋_GB2312"/>
          <w:sz w:val="32"/>
          <w:szCs w:val="32"/>
        </w:rPr>
        <w:t>、协调联动</w:t>
      </w:r>
      <w:r>
        <w:rPr>
          <w:rFonts w:eastAsia="仿宋_GB2312"/>
          <w:sz w:val="32"/>
          <w:szCs w:val="32"/>
        </w:rPr>
        <w:t>，</w:t>
      </w:r>
      <w:bookmarkStart w:id="5" w:name="OLE_LINK10"/>
      <w:r>
        <w:rPr>
          <w:rFonts w:eastAsia="仿宋_GB2312"/>
          <w:sz w:val="32"/>
          <w:szCs w:val="32"/>
        </w:rPr>
        <w:t>根据职责制定支持引导政策</w:t>
      </w:r>
      <w:bookmarkEnd w:id="5"/>
      <w:r>
        <w:rPr>
          <w:rFonts w:eastAsia="仿宋_GB2312"/>
          <w:sz w:val="32"/>
          <w:szCs w:val="32"/>
        </w:rPr>
        <w:t>。</w:t>
      </w:r>
    </w:p>
    <w:p w14:paraId="401ED4C6">
      <w:pPr>
        <w:overflowPunct w:val="0"/>
        <w:topLinePunct/>
        <w:spacing w:after="0" w:line="600" w:lineRule="exact"/>
        <w:ind w:firstLine="640" w:firstLineChars="200"/>
        <w:jc w:val="both"/>
        <w:rPr>
          <w:rFonts w:eastAsia="仿宋_GB2312"/>
          <w:sz w:val="32"/>
          <w:szCs w:val="32"/>
        </w:rPr>
      </w:pPr>
      <w:r>
        <w:rPr>
          <w:rFonts w:eastAsia="楷体_GB2312"/>
          <w:b/>
          <w:bCs/>
          <w:sz w:val="32"/>
          <w:szCs w:val="32"/>
        </w:rPr>
        <w:t>（</w:t>
      </w:r>
      <w:r>
        <w:rPr>
          <w:rFonts w:hint="eastAsia" w:eastAsia="楷体_GB2312"/>
          <w:b/>
          <w:bCs/>
          <w:sz w:val="32"/>
          <w:szCs w:val="32"/>
        </w:rPr>
        <w:t>二</w:t>
      </w:r>
      <w:r>
        <w:rPr>
          <w:rFonts w:eastAsia="楷体_GB2312"/>
          <w:b/>
          <w:bCs/>
          <w:sz w:val="32"/>
          <w:szCs w:val="32"/>
        </w:rPr>
        <w:t>）加强资金项目支持。</w:t>
      </w:r>
      <w:r>
        <w:rPr>
          <w:rFonts w:eastAsia="仿宋_GB2312"/>
          <w:sz w:val="32"/>
          <w:szCs w:val="32"/>
        </w:rPr>
        <w:t>各地要将城市开发与美丽城市建设有效挂钩，系统谋划一批标志性、引领性重点项目</w:t>
      </w:r>
      <w:r>
        <w:rPr>
          <w:rFonts w:hint="eastAsia" w:eastAsia="仿宋_GB2312"/>
          <w:sz w:val="32"/>
          <w:szCs w:val="32"/>
        </w:rPr>
        <w:t>。</w:t>
      </w:r>
      <w:r>
        <w:rPr>
          <w:rFonts w:eastAsia="仿宋_GB2312"/>
          <w:sz w:val="32"/>
          <w:szCs w:val="32"/>
        </w:rPr>
        <w:t>省级有关部门要优先支持美丽城市建设项目纳入</w:t>
      </w:r>
      <w:r>
        <w:rPr>
          <w:rFonts w:hint="eastAsia" w:eastAsia="仿宋_GB2312"/>
          <w:sz w:val="32"/>
          <w:szCs w:val="32"/>
        </w:rPr>
        <w:t>各类</w:t>
      </w:r>
      <w:r>
        <w:rPr>
          <w:rFonts w:eastAsia="仿宋_GB2312"/>
          <w:sz w:val="32"/>
          <w:szCs w:val="32"/>
        </w:rPr>
        <w:t>项目储备库</w:t>
      </w:r>
      <w:r>
        <w:rPr>
          <w:rFonts w:hint="eastAsia" w:eastAsia="仿宋_GB2312"/>
          <w:sz w:val="32"/>
          <w:szCs w:val="32"/>
        </w:rPr>
        <w:t>。鼓励</w:t>
      </w:r>
      <w:r>
        <w:rPr>
          <w:rFonts w:eastAsia="仿宋_GB2312"/>
          <w:sz w:val="32"/>
          <w:szCs w:val="32"/>
        </w:rPr>
        <w:t>金融机构创新融资模式</w:t>
      </w:r>
      <w:r>
        <w:rPr>
          <w:rFonts w:hint="eastAsia" w:eastAsia="仿宋_GB2312"/>
          <w:sz w:val="32"/>
          <w:szCs w:val="32"/>
        </w:rPr>
        <w:t>，</w:t>
      </w:r>
      <w:r>
        <w:rPr>
          <w:rFonts w:eastAsia="仿宋_GB2312"/>
          <w:sz w:val="32"/>
          <w:szCs w:val="32"/>
        </w:rPr>
        <w:t>加大美丽城市建设</w:t>
      </w:r>
      <w:r>
        <w:rPr>
          <w:rFonts w:hint="eastAsia" w:eastAsia="仿宋_GB2312"/>
          <w:sz w:val="32"/>
          <w:szCs w:val="32"/>
        </w:rPr>
        <w:t>金融</w:t>
      </w:r>
      <w:r>
        <w:rPr>
          <w:rFonts w:eastAsia="仿宋_GB2312"/>
          <w:sz w:val="32"/>
          <w:szCs w:val="32"/>
        </w:rPr>
        <w:t>支持力度。</w:t>
      </w:r>
    </w:p>
    <w:p w14:paraId="153C07F8">
      <w:pPr>
        <w:overflowPunct w:val="0"/>
        <w:topLinePunct/>
        <w:spacing w:after="0" w:line="600" w:lineRule="exact"/>
        <w:ind w:firstLine="640" w:firstLineChars="200"/>
        <w:jc w:val="both"/>
        <w:rPr>
          <w:rFonts w:eastAsia="仿宋_GB2312"/>
          <w:sz w:val="32"/>
          <w:szCs w:val="32"/>
        </w:rPr>
      </w:pPr>
      <w:r>
        <w:rPr>
          <w:rFonts w:eastAsia="楷体_GB2312"/>
          <w:b/>
          <w:bCs/>
          <w:sz w:val="32"/>
          <w:szCs w:val="32"/>
        </w:rPr>
        <w:t>（</w:t>
      </w:r>
      <w:r>
        <w:rPr>
          <w:rFonts w:hint="eastAsia" w:eastAsia="楷体_GB2312"/>
          <w:b/>
          <w:bCs/>
          <w:sz w:val="32"/>
          <w:szCs w:val="32"/>
        </w:rPr>
        <w:t>三</w:t>
      </w:r>
      <w:r>
        <w:rPr>
          <w:rFonts w:eastAsia="楷体_GB2312"/>
          <w:b/>
          <w:bCs/>
          <w:sz w:val="32"/>
          <w:szCs w:val="32"/>
        </w:rPr>
        <w:t>）加强示范引领。</w:t>
      </w:r>
      <w:r>
        <w:rPr>
          <w:rFonts w:eastAsia="仿宋_GB2312"/>
          <w:sz w:val="32"/>
          <w:szCs w:val="32"/>
        </w:rPr>
        <w:t>鼓励各地</w:t>
      </w:r>
      <w:r>
        <w:rPr>
          <w:rFonts w:hint="eastAsia" w:eastAsia="仿宋_GB2312"/>
          <w:sz w:val="32"/>
          <w:szCs w:val="32"/>
        </w:rPr>
        <w:t>因地制宜、分级分类探索</w:t>
      </w:r>
      <w:r>
        <w:rPr>
          <w:rFonts w:eastAsia="仿宋_GB2312"/>
          <w:sz w:val="32"/>
          <w:szCs w:val="32"/>
        </w:rPr>
        <w:t>开展学校、街道、社区、医院、机关单位</w:t>
      </w:r>
      <w:r>
        <w:rPr>
          <w:rFonts w:hint="eastAsia" w:ascii="仿宋_GB2312" w:eastAsia="仿宋_GB2312"/>
          <w:sz w:val="32"/>
          <w:szCs w:val="32"/>
        </w:rPr>
        <w:t>等“美丽细胞”建设，及时总结经验做法、标志性成果，多渠道展示推广。用好“美丽中国，我是行动者”“美丽中国，志愿有我”等品牌，营造</w:t>
      </w:r>
      <w:r>
        <w:rPr>
          <w:rFonts w:eastAsia="仿宋_GB2312"/>
          <w:sz w:val="32"/>
          <w:szCs w:val="32"/>
        </w:rPr>
        <w:t>全民参与的良好氛围。</w:t>
      </w:r>
    </w:p>
    <w:p w14:paraId="5AB113AA">
      <w:pPr>
        <w:overflowPunct w:val="0"/>
        <w:topLinePunct/>
        <w:spacing w:after="0" w:line="600" w:lineRule="exact"/>
        <w:ind w:firstLine="640" w:firstLineChars="200"/>
        <w:jc w:val="both"/>
        <w:rPr>
          <w:rFonts w:eastAsia="仿宋_GB2312"/>
          <w:sz w:val="32"/>
          <w:szCs w:val="32"/>
        </w:rPr>
      </w:pPr>
      <w:r>
        <w:rPr>
          <w:rFonts w:eastAsia="楷体_GB2312"/>
          <w:b/>
          <w:bCs/>
          <w:sz w:val="32"/>
          <w:szCs w:val="32"/>
        </w:rPr>
        <w:t>（四）强化成果应用。</w:t>
      </w:r>
      <w:r>
        <w:rPr>
          <w:rFonts w:hint="eastAsia" w:eastAsia="仿宋_GB2312"/>
          <w:sz w:val="32"/>
          <w:szCs w:val="32"/>
        </w:rPr>
        <w:t>生态环境厅会同</w:t>
      </w:r>
      <w:r>
        <w:rPr>
          <w:rFonts w:eastAsia="仿宋_GB2312"/>
          <w:sz w:val="32"/>
          <w:szCs w:val="32"/>
        </w:rPr>
        <w:t>有关部门对美丽城市建设</w:t>
      </w:r>
      <w:r>
        <w:rPr>
          <w:rFonts w:hint="eastAsia" w:eastAsia="仿宋_GB2312"/>
          <w:sz w:val="32"/>
          <w:szCs w:val="32"/>
        </w:rPr>
        <w:t>开展年度</w:t>
      </w:r>
      <w:r>
        <w:rPr>
          <w:rFonts w:eastAsia="仿宋_GB2312"/>
          <w:sz w:val="32"/>
          <w:szCs w:val="32"/>
        </w:rPr>
        <w:t>综合评估，并作为推荐申报国家优秀案例、评选省级优秀案例等重要依据。省级指导单位对相关领域的经验做法进行及时总结和推荐上报。</w:t>
      </w:r>
    </w:p>
    <w:p w14:paraId="47639FA0">
      <w:pPr>
        <w:overflowPunct w:val="0"/>
        <w:topLinePunct/>
        <w:spacing w:after="0" w:line="600" w:lineRule="exact"/>
        <w:contextualSpacing/>
        <w:jc w:val="center"/>
        <w:outlineLvl w:val="0"/>
        <w:rPr>
          <w:rFonts w:eastAsia="方正小标宋简体"/>
          <w:bCs/>
          <w:kern w:val="0"/>
          <w:sz w:val="44"/>
          <w:szCs w:val="44"/>
          <w:lang w:bidi="en-US"/>
        </w:rPr>
      </w:pPr>
    </w:p>
    <w:p w14:paraId="5FE2E276">
      <w:pPr>
        <w:overflowPunct w:val="0"/>
        <w:topLinePunct/>
        <w:spacing w:after="0" w:line="600" w:lineRule="exact"/>
        <w:ind w:firstLine="640" w:firstLineChars="200"/>
        <w:contextualSpacing/>
        <w:jc w:val="both"/>
        <w:outlineLvl w:val="0"/>
        <w:rPr>
          <w:rFonts w:eastAsia="仿宋_GB2312"/>
          <w:bCs/>
          <w:kern w:val="0"/>
          <w:sz w:val="32"/>
          <w:szCs w:val="32"/>
          <w:lang w:bidi="en-US"/>
        </w:rPr>
      </w:pPr>
      <w:r>
        <w:rPr>
          <w:rFonts w:hint="eastAsia" w:eastAsia="仿宋_GB2312"/>
          <w:bCs/>
          <w:kern w:val="0"/>
          <w:sz w:val="32"/>
          <w:szCs w:val="32"/>
          <w:lang w:bidi="en-US"/>
        </w:rPr>
        <w:t>附件：四川省美丽城市建设指标体系</w:t>
      </w:r>
    </w:p>
    <w:p w14:paraId="6EDA695D">
      <w:pPr>
        <w:overflowPunct w:val="0"/>
        <w:topLinePunct/>
        <w:spacing w:after="0" w:line="600" w:lineRule="exact"/>
        <w:contextualSpacing/>
        <w:jc w:val="center"/>
        <w:outlineLvl w:val="0"/>
        <w:rPr>
          <w:rFonts w:eastAsia="方正小标宋简体"/>
          <w:bCs/>
          <w:kern w:val="0"/>
          <w:sz w:val="44"/>
          <w:szCs w:val="44"/>
          <w:lang w:bidi="en-US"/>
        </w:rPr>
      </w:pPr>
    </w:p>
    <w:p w14:paraId="11D6FBA9">
      <w:pPr>
        <w:overflowPunct w:val="0"/>
        <w:topLinePunct/>
        <w:spacing w:after="0" w:line="600" w:lineRule="exact"/>
        <w:contextualSpacing/>
        <w:jc w:val="center"/>
        <w:outlineLvl w:val="0"/>
        <w:rPr>
          <w:rFonts w:eastAsia="方正小标宋简体"/>
          <w:bCs/>
          <w:kern w:val="0"/>
          <w:sz w:val="44"/>
          <w:szCs w:val="44"/>
          <w:lang w:bidi="en-US"/>
        </w:rPr>
        <w:sectPr>
          <w:footerReference r:id="rId5" w:type="default"/>
          <w:footerReference r:id="rId6" w:type="even"/>
          <w:pgSz w:w="11906" w:h="16838"/>
          <w:pgMar w:top="2098" w:right="1474" w:bottom="1247" w:left="1588" w:header="851" w:footer="992" w:gutter="0"/>
          <w:cols w:space="720" w:num="1"/>
          <w:titlePg/>
          <w:docGrid w:type="linesAndChars" w:linePitch="312" w:charSpace="0"/>
        </w:sectPr>
      </w:pPr>
    </w:p>
    <w:p w14:paraId="3184027E">
      <w:pPr>
        <w:overflowPunct w:val="0"/>
        <w:topLinePunct/>
        <w:spacing w:after="0" w:line="600" w:lineRule="exact"/>
        <w:contextualSpacing/>
        <w:outlineLvl w:val="0"/>
        <w:rPr>
          <w:rFonts w:eastAsia="黑体"/>
          <w:bCs/>
          <w:kern w:val="0"/>
          <w:sz w:val="32"/>
          <w:szCs w:val="32"/>
          <w:lang w:bidi="en-US"/>
        </w:rPr>
      </w:pPr>
      <w:r>
        <w:rPr>
          <w:rFonts w:eastAsia="黑体"/>
          <w:bCs/>
          <w:kern w:val="0"/>
          <w:sz w:val="32"/>
          <w:szCs w:val="32"/>
          <w:lang w:bidi="en-US"/>
        </w:rPr>
        <w:t>附件</w:t>
      </w:r>
    </w:p>
    <w:p w14:paraId="5804D6C7">
      <w:pPr>
        <w:overflowPunct w:val="0"/>
        <w:topLinePunct/>
        <w:spacing w:after="0" w:line="240" w:lineRule="exact"/>
        <w:contextualSpacing/>
        <w:jc w:val="center"/>
        <w:outlineLvl w:val="0"/>
        <w:rPr>
          <w:rFonts w:eastAsia="方正小标宋简体"/>
          <w:bCs/>
          <w:kern w:val="0"/>
          <w:sz w:val="44"/>
          <w:szCs w:val="44"/>
          <w:lang w:bidi="en-US"/>
        </w:rPr>
      </w:pPr>
    </w:p>
    <w:p w14:paraId="2C54C367">
      <w:pPr>
        <w:overflowPunct w:val="0"/>
        <w:topLinePunct/>
        <w:spacing w:after="0" w:line="600" w:lineRule="exact"/>
        <w:contextualSpacing/>
        <w:jc w:val="center"/>
        <w:outlineLvl w:val="0"/>
        <w:rPr>
          <w:rFonts w:eastAsia="方正小标宋简体"/>
          <w:bCs/>
          <w:kern w:val="0"/>
          <w:sz w:val="44"/>
          <w:szCs w:val="44"/>
          <w:lang w:bidi="en-US"/>
        </w:rPr>
      </w:pPr>
      <w:r>
        <w:rPr>
          <w:rFonts w:eastAsia="方正小标宋简体"/>
          <w:bCs/>
          <w:kern w:val="0"/>
          <w:sz w:val="44"/>
          <w:szCs w:val="44"/>
          <w:lang w:bidi="en-US"/>
        </w:rPr>
        <w:t>四川省美丽城市建设指标体系</w:t>
      </w:r>
    </w:p>
    <w:p w14:paraId="1D17D860">
      <w:pPr>
        <w:overflowPunct w:val="0"/>
        <w:topLinePunct/>
        <w:spacing w:after="0" w:line="240" w:lineRule="exact"/>
        <w:contextualSpacing/>
        <w:jc w:val="center"/>
        <w:outlineLvl w:val="0"/>
        <w:rPr>
          <w:rFonts w:eastAsia="方正小标宋简体"/>
          <w:bCs/>
          <w:kern w:val="0"/>
          <w:sz w:val="44"/>
          <w:szCs w:val="44"/>
          <w:lang w:bidi="en-US"/>
        </w:rPr>
      </w:pP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7" w:type="dxa"/>
          <w:bottom w:w="0" w:type="dxa"/>
          <w:right w:w="17" w:type="dxa"/>
        </w:tblCellMar>
      </w:tblPr>
      <w:tblGrid>
        <w:gridCol w:w="603"/>
        <w:gridCol w:w="969"/>
        <w:gridCol w:w="1834"/>
        <w:gridCol w:w="2137"/>
        <w:gridCol w:w="4123"/>
        <w:gridCol w:w="1848"/>
        <w:gridCol w:w="996"/>
        <w:gridCol w:w="1017"/>
      </w:tblGrid>
      <w:tr w14:paraId="58A96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0" w:hRule="atLeast"/>
          <w:tblHeader/>
          <w:jc w:val="center"/>
        </w:trPr>
        <w:tc>
          <w:tcPr>
            <w:tcW w:w="223" w:type="pct"/>
            <w:vAlign w:val="center"/>
          </w:tcPr>
          <w:p w14:paraId="0532653C">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序号</w:t>
            </w:r>
          </w:p>
        </w:tc>
        <w:tc>
          <w:tcPr>
            <w:tcW w:w="358" w:type="pct"/>
            <w:vAlign w:val="center"/>
          </w:tcPr>
          <w:p w14:paraId="4367419D">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一级指标</w:t>
            </w:r>
          </w:p>
        </w:tc>
        <w:tc>
          <w:tcPr>
            <w:tcW w:w="678" w:type="pct"/>
            <w:vAlign w:val="center"/>
          </w:tcPr>
          <w:p w14:paraId="03B63797">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二级指标</w:t>
            </w:r>
          </w:p>
        </w:tc>
        <w:tc>
          <w:tcPr>
            <w:tcW w:w="790" w:type="pct"/>
            <w:vAlign w:val="center"/>
          </w:tcPr>
          <w:p w14:paraId="4D2F5FD2">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美丽城市参考值</w:t>
            </w:r>
          </w:p>
        </w:tc>
        <w:tc>
          <w:tcPr>
            <w:tcW w:w="1524" w:type="pct"/>
            <w:vAlign w:val="center"/>
          </w:tcPr>
          <w:p w14:paraId="3D3E9D65">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指标解释</w:t>
            </w:r>
          </w:p>
        </w:tc>
        <w:tc>
          <w:tcPr>
            <w:tcW w:w="683" w:type="pct"/>
            <w:vAlign w:val="center"/>
          </w:tcPr>
          <w:p w14:paraId="627AB8A7">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省级指导部门</w:t>
            </w:r>
          </w:p>
        </w:tc>
        <w:tc>
          <w:tcPr>
            <w:tcW w:w="368" w:type="pct"/>
            <w:vAlign w:val="center"/>
          </w:tcPr>
          <w:p w14:paraId="6585AFE8">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适用范围</w:t>
            </w:r>
          </w:p>
        </w:tc>
        <w:tc>
          <w:tcPr>
            <w:tcW w:w="376" w:type="pct"/>
            <w:vAlign w:val="center"/>
          </w:tcPr>
          <w:p w14:paraId="4493306F">
            <w:pPr>
              <w:overflowPunct w:val="0"/>
              <w:topLinePunct/>
              <w:spacing w:after="0" w:line="320" w:lineRule="exact"/>
              <w:jc w:val="center"/>
              <w:rPr>
                <w:rFonts w:ascii="黑体" w:hAnsi="黑体" w:eastAsia="黑体"/>
                <w:bCs/>
                <w:sz w:val="21"/>
                <w:szCs w:val="21"/>
              </w:rPr>
            </w:pPr>
            <w:r>
              <w:rPr>
                <w:rFonts w:hint="eastAsia" w:ascii="黑体" w:hAnsi="黑体" w:eastAsia="黑体"/>
                <w:bCs/>
                <w:sz w:val="21"/>
                <w:szCs w:val="21"/>
              </w:rPr>
              <w:t>备注</w:t>
            </w:r>
          </w:p>
        </w:tc>
      </w:tr>
      <w:tr w14:paraId="18B94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17DC66F2">
            <w:pPr>
              <w:overflowPunct w:val="0"/>
              <w:topLinePunct/>
              <w:spacing w:after="0" w:line="320" w:lineRule="exact"/>
              <w:jc w:val="center"/>
              <w:rPr>
                <w:rFonts w:eastAsia="仿宋_GB2312"/>
                <w:sz w:val="21"/>
                <w:szCs w:val="21"/>
              </w:rPr>
            </w:pPr>
            <w:r>
              <w:rPr>
                <w:rFonts w:hint="eastAsia" w:eastAsia="仿宋_GB2312"/>
                <w:sz w:val="21"/>
                <w:szCs w:val="21"/>
              </w:rPr>
              <w:t>1</w:t>
            </w:r>
          </w:p>
        </w:tc>
        <w:tc>
          <w:tcPr>
            <w:tcW w:w="358" w:type="pct"/>
            <w:vMerge w:val="restart"/>
            <w:vAlign w:val="center"/>
          </w:tcPr>
          <w:p w14:paraId="6E6338A6">
            <w:pPr>
              <w:overflowPunct w:val="0"/>
              <w:topLinePunct/>
              <w:spacing w:after="0" w:line="320" w:lineRule="exact"/>
              <w:jc w:val="center"/>
              <w:rPr>
                <w:rFonts w:eastAsia="仿宋_GB2312"/>
                <w:sz w:val="21"/>
                <w:szCs w:val="21"/>
              </w:rPr>
            </w:pPr>
            <w:r>
              <w:rPr>
                <w:rFonts w:hint="eastAsia" w:eastAsia="仿宋_GB2312"/>
                <w:sz w:val="21"/>
                <w:szCs w:val="21"/>
              </w:rPr>
              <w:t>绿色低碳</w:t>
            </w:r>
          </w:p>
        </w:tc>
        <w:tc>
          <w:tcPr>
            <w:tcW w:w="678" w:type="pct"/>
            <w:vAlign w:val="center"/>
          </w:tcPr>
          <w:p w14:paraId="0BF97178">
            <w:pPr>
              <w:overflowPunct w:val="0"/>
              <w:topLinePunct/>
              <w:spacing w:after="0" w:line="320" w:lineRule="exact"/>
              <w:jc w:val="center"/>
              <w:rPr>
                <w:rFonts w:eastAsia="仿宋_GB2312"/>
                <w:sz w:val="21"/>
                <w:szCs w:val="21"/>
              </w:rPr>
            </w:pPr>
            <w:r>
              <w:rPr>
                <w:rFonts w:hint="eastAsia" w:eastAsia="仿宋_GB2312"/>
                <w:sz w:val="21"/>
                <w:szCs w:val="21"/>
              </w:rPr>
              <w:t>单位地区生产总值二氧化碳排放降低（%）</w:t>
            </w:r>
          </w:p>
        </w:tc>
        <w:tc>
          <w:tcPr>
            <w:tcW w:w="790" w:type="pct"/>
            <w:vAlign w:val="center"/>
          </w:tcPr>
          <w:p w14:paraId="57E314D5">
            <w:pPr>
              <w:overflowPunct w:val="0"/>
              <w:topLinePunct/>
              <w:spacing w:after="0" w:line="320" w:lineRule="exact"/>
              <w:jc w:val="center"/>
              <w:rPr>
                <w:rFonts w:eastAsia="仿宋_GB2312"/>
                <w:sz w:val="21"/>
                <w:szCs w:val="21"/>
              </w:rPr>
            </w:pPr>
            <w:r>
              <w:rPr>
                <w:rFonts w:hint="eastAsia" w:eastAsia="仿宋_GB2312"/>
                <w:sz w:val="21"/>
                <w:szCs w:val="21"/>
              </w:rPr>
              <w:t>完成上级下达目标</w:t>
            </w:r>
          </w:p>
        </w:tc>
        <w:tc>
          <w:tcPr>
            <w:tcW w:w="1524" w:type="pct"/>
            <w:vAlign w:val="center"/>
          </w:tcPr>
          <w:p w14:paraId="099D1542">
            <w:pPr>
              <w:overflowPunct w:val="0"/>
              <w:topLinePunct/>
              <w:spacing w:after="0" w:line="320" w:lineRule="exact"/>
              <w:jc w:val="center"/>
              <w:rPr>
                <w:rFonts w:eastAsia="仿宋_GB2312"/>
                <w:sz w:val="21"/>
                <w:szCs w:val="21"/>
              </w:rPr>
            </w:pPr>
            <w:r>
              <w:rPr>
                <w:rFonts w:hint="eastAsia" w:eastAsia="仿宋_GB2312"/>
                <w:sz w:val="21"/>
                <w:szCs w:val="21"/>
              </w:rPr>
              <w:t>指地区每生产一个单位的地区生产总值所产生二氧化碳排放量与基期相比的降低比例。</w:t>
            </w:r>
          </w:p>
        </w:tc>
        <w:tc>
          <w:tcPr>
            <w:tcW w:w="683" w:type="pct"/>
            <w:vAlign w:val="center"/>
          </w:tcPr>
          <w:p w14:paraId="33272475">
            <w:pPr>
              <w:overflowPunct w:val="0"/>
              <w:topLinePunct/>
              <w:spacing w:after="0" w:line="320" w:lineRule="exact"/>
              <w:jc w:val="center"/>
              <w:rPr>
                <w:rFonts w:eastAsia="仿宋_GB2312"/>
                <w:sz w:val="21"/>
                <w:szCs w:val="21"/>
              </w:rPr>
            </w:pPr>
            <w:r>
              <w:rPr>
                <w:rFonts w:hint="eastAsia" w:eastAsia="仿宋_GB2312"/>
                <w:sz w:val="21"/>
                <w:szCs w:val="21"/>
              </w:rPr>
              <w:t>省发展改革委、</w:t>
            </w:r>
          </w:p>
          <w:p w14:paraId="06B57398">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525D83E7">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596F2FCA">
            <w:pPr>
              <w:overflowPunct w:val="0"/>
              <w:topLinePunct/>
              <w:spacing w:after="0" w:line="320" w:lineRule="exact"/>
              <w:jc w:val="center"/>
              <w:rPr>
                <w:rFonts w:eastAsia="仿宋_GB2312"/>
                <w:sz w:val="21"/>
                <w:szCs w:val="21"/>
              </w:rPr>
            </w:pPr>
          </w:p>
        </w:tc>
      </w:tr>
      <w:tr w14:paraId="34D00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40DF45CC">
            <w:pPr>
              <w:overflowPunct w:val="0"/>
              <w:topLinePunct/>
              <w:spacing w:after="0" w:line="320" w:lineRule="exact"/>
              <w:jc w:val="center"/>
              <w:rPr>
                <w:rFonts w:eastAsia="仿宋_GB2312"/>
                <w:sz w:val="21"/>
                <w:szCs w:val="21"/>
              </w:rPr>
            </w:pPr>
            <w:r>
              <w:rPr>
                <w:rFonts w:hint="eastAsia" w:eastAsia="仿宋_GB2312"/>
                <w:sz w:val="21"/>
                <w:szCs w:val="21"/>
              </w:rPr>
              <w:t>2</w:t>
            </w:r>
          </w:p>
        </w:tc>
        <w:tc>
          <w:tcPr>
            <w:tcW w:w="358" w:type="pct"/>
            <w:vMerge w:val="continue"/>
            <w:vAlign w:val="center"/>
          </w:tcPr>
          <w:p w14:paraId="2B2A981B">
            <w:pPr>
              <w:overflowPunct w:val="0"/>
              <w:topLinePunct/>
              <w:spacing w:after="0" w:line="320" w:lineRule="exact"/>
              <w:jc w:val="center"/>
              <w:rPr>
                <w:rFonts w:eastAsia="仿宋_GB2312"/>
                <w:sz w:val="21"/>
                <w:szCs w:val="21"/>
              </w:rPr>
            </w:pPr>
          </w:p>
        </w:tc>
        <w:tc>
          <w:tcPr>
            <w:tcW w:w="678" w:type="pct"/>
            <w:vAlign w:val="center"/>
          </w:tcPr>
          <w:p w14:paraId="14E6887C">
            <w:pPr>
              <w:overflowPunct w:val="0"/>
              <w:topLinePunct/>
              <w:spacing w:after="0" w:line="320" w:lineRule="exact"/>
              <w:jc w:val="center"/>
              <w:rPr>
                <w:rFonts w:eastAsia="仿宋_GB2312"/>
                <w:sz w:val="21"/>
                <w:szCs w:val="21"/>
              </w:rPr>
            </w:pPr>
            <w:r>
              <w:rPr>
                <w:rFonts w:hint="eastAsia" w:eastAsia="仿宋_GB2312"/>
                <w:sz w:val="21"/>
                <w:szCs w:val="21"/>
              </w:rPr>
              <w:t>非化石能源消费比重（%）</w:t>
            </w:r>
          </w:p>
        </w:tc>
        <w:tc>
          <w:tcPr>
            <w:tcW w:w="790" w:type="pct"/>
            <w:vAlign w:val="center"/>
          </w:tcPr>
          <w:p w14:paraId="612741B9">
            <w:pPr>
              <w:overflowPunct w:val="0"/>
              <w:topLinePunct/>
              <w:spacing w:after="0" w:line="320" w:lineRule="exact"/>
              <w:jc w:val="center"/>
              <w:rPr>
                <w:rFonts w:eastAsia="仿宋_GB2312"/>
                <w:sz w:val="21"/>
                <w:szCs w:val="21"/>
              </w:rPr>
            </w:pPr>
            <w:r>
              <w:rPr>
                <w:rFonts w:hint="eastAsia" w:eastAsia="仿宋_GB2312"/>
                <w:sz w:val="21"/>
                <w:szCs w:val="21"/>
              </w:rPr>
              <w:t>≥25或持续提高</w:t>
            </w:r>
          </w:p>
        </w:tc>
        <w:tc>
          <w:tcPr>
            <w:tcW w:w="1524" w:type="pct"/>
            <w:vAlign w:val="center"/>
          </w:tcPr>
          <w:p w14:paraId="727D294C">
            <w:pPr>
              <w:overflowPunct w:val="0"/>
              <w:topLinePunct/>
              <w:spacing w:after="0" w:line="320" w:lineRule="exact"/>
              <w:jc w:val="center"/>
              <w:rPr>
                <w:rFonts w:eastAsia="仿宋_GB2312"/>
                <w:sz w:val="21"/>
                <w:szCs w:val="21"/>
              </w:rPr>
            </w:pPr>
            <w:r>
              <w:rPr>
                <w:rFonts w:hint="eastAsia" w:eastAsia="仿宋_GB2312"/>
                <w:sz w:val="21"/>
                <w:szCs w:val="21"/>
              </w:rPr>
              <w:t>指地区核电、风能、水能、太阳能、生物质能、地热能等非化石能源消费占能源消费总量的比重。</w:t>
            </w:r>
          </w:p>
        </w:tc>
        <w:tc>
          <w:tcPr>
            <w:tcW w:w="683" w:type="pct"/>
            <w:vAlign w:val="center"/>
          </w:tcPr>
          <w:p w14:paraId="70DEEE03">
            <w:pPr>
              <w:overflowPunct w:val="0"/>
              <w:topLinePunct/>
              <w:spacing w:after="0" w:line="320" w:lineRule="exact"/>
              <w:jc w:val="center"/>
              <w:rPr>
                <w:rFonts w:eastAsia="仿宋_GB2312"/>
                <w:sz w:val="21"/>
                <w:szCs w:val="21"/>
              </w:rPr>
            </w:pPr>
            <w:r>
              <w:rPr>
                <w:rFonts w:hint="eastAsia" w:eastAsia="仿宋_GB2312"/>
                <w:sz w:val="21"/>
                <w:szCs w:val="21"/>
              </w:rPr>
              <w:t>省发展改革委</w:t>
            </w:r>
          </w:p>
        </w:tc>
        <w:tc>
          <w:tcPr>
            <w:tcW w:w="368" w:type="pct"/>
            <w:vAlign w:val="center"/>
          </w:tcPr>
          <w:p w14:paraId="416DFF6C">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16D3C4D4">
            <w:pPr>
              <w:overflowPunct w:val="0"/>
              <w:topLinePunct/>
              <w:spacing w:after="0" w:line="320" w:lineRule="exact"/>
              <w:jc w:val="center"/>
              <w:rPr>
                <w:rFonts w:eastAsia="仿宋_GB2312"/>
                <w:sz w:val="21"/>
                <w:szCs w:val="21"/>
              </w:rPr>
            </w:pPr>
          </w:p>
        </w:tc>
      </w:tr>
      <w:tr w14:paraId="25630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0A2F6AB1">
            <w:pPr>
              <w:overflowPunct w:val="0"/>
              <w:topLinePunct/>
              <w:spacing w:after="0" w:line="320" w:lineRule="exact"/>
              <w:jc w:val="center"/>
              <w:rPr>
                <w:rFonts w:eastAsia="仿宋_GB2312"/>
                <w:sz w:val="21"/>
                <w:szCs w:val="21"/>
              </w:rPr>
            </w:pPr>
            <w:r>
              <w:rPr>
                <w:rFonts w:hint="eastAsia" w:eastAsia="仿宋_GB2312"/>
                <w:sz w:val="21"/>
                <w:szCs w:val="21"/>
              </w:rPr>
              <w:t>3</w:t>
            </w:r>
          </w:p>
        </w:tc>
        <w:tc>
          <w:tcPr>
            <w:tcW w:w="358" w:type="pct"/>
            <w:vMerge w:val="continue"/>
            <w:vAlign w:val="center"/>
          </w:tcPr>
          <w:p w14:paraId="38FD954C">
            <w:pPr>
              <w:overflowPunct w:val="0"/>
              <w:topLinePunct/>
              <w:spacing w:after="0" w:line="320" w:lineRule="exact"/>
              <w:jc w:val="center"/>
              <w:rPr>
                <w:rFonts w:eastAsia="仿宋_GB2312"/>
                <w:sz w:val="21"/>
                <w:szCs w:val="21"/>
              </w:rPr>
            </w:pPr>
          </w:p>
        </w:tc>
        <w:tc>
          <w:tcPr>
            <w:tcW w:w="678" w:type="pct"/>
            <w:vAlign w:val="center"/>
          </w:tcPr>
          <w:p w14:paraId="1F3F6F33">
            <w:pPr>
              <w:overflowPunct w:val="0"/>
              <w:topLinePunct/>
              <w:spacing w:after="0" w:line="320" w:lineRule="exact"/>
              <w:jc w:val="center"/>
              <w:rPr>
                <w:rFonts w:eastAsia="仿宋_GB2312"/>
                <w:sz w:val="21"/>
                <w:szCs w:val="21"/>
              </w:rPr>
            </w:pPr>
            <w:r>
              <w:rPr>
                <w:rFonts w:hint="eastAsia" w:eastAsia="仿宋_GB2312"/>
                <w:sz w:val="21"/>
                <w:szCs w:val="21"/>
              </w:rPr>
              <w:t>碳市场覆盖行业的重点排放单位的单位产出碳排放降低（%）</w:t>
            </w:r>
          </w:p>
        </w:tc>
        <w:tc>
          <w:tcPr>
            <w:tcW w:w="790" w:type="pct"/>
            <w:vAlign w:val="center"/>
          </w:tcPr>
          <w:p w14:paraId="3D941028">
            <w:pPr>
              <w:overflowPunct w:val="0"/>
              <w:topLinePunct/>
              <w:spacing w:after="0" w:line="320" w:lineRule="exact"/>
              <w:jc w:val="center"/>
              <w:rPr>
                <w:rFonts w:eastAsia="仿宋_GB2312"/>
                <w:sz w:val="21"/>
                <w:szCs w:val="21"/>
              </w:rPr>
            </w:pPr>
            <w:r>
              <w:rPr>
                <w:rFonts w:hint="eastAsia" w:eastAsia="仿宋_GB2312"/>
                <w:sz w:val="21"/>
                <w:szCs w:val="21"/>
              </w:rPr>
              <w:t>持续下降或保持稳定</w:t>
            </w:r>
          </w:p>
        </w:tc>
        <w:tc>
          <w:tcPr>
            <w:tcW w:w="1524" w:type="pct"/>
            <w:vAlign w:val="center"/>
          </w:tcPr>
          <w:p w14:paraId="1BDC492D">
            <w:pPr>
              <w:overflowPunct w:val="0"/>
              <w:topLinePunct/>
              <w:spacing w:after="0" w:line="320" w:lineRule="exact"/>
              <w:jc w:val="center"/>
              <w:rPr>
                <w:rFonts w:eastAsia="仿宋_GB2312"/>
                <w:sz w:val="21"/>
                <w:szCs w:val="21"/>
              </w:rPr>
            </w:pPr>
            <w:r>
              <w:rPr>
                <w:rFonts w:hint="eastAsia" w:eastAsia="仿宋_GB2312"/>
                <w:sz w:val="21"/>
                <w:szCs w:val="21"/>
              </w:rPr>
              <w:t>指地区全国碳市场覆盖行业的重点排放单位的单位产出二氧化碳排放量下降幅度。</w:t>
            </w:r>
          </w:p>
        </w:tc>
        <w:tc>
          <w:tcPr>
            <w:tcW w:w="683" w:type="pct"/>
            <w:vAlign w:val="center"/>
          </w:tcPr>
          <w:p w14:paraId="00F6BBBB">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6607B1F1">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4A980D0A">
            <w:pPr>
              <w:overflowPunct w:val="0"/>
              <w:topLinePunct/>
              <w:spacing w:after="0" w:line="320" w:lineRule="exact"/>
              <w:jc w:val="center"/>
              <w:rPr>
                <w:rFonts w:eastAsia="仿宋_GB2312"/>
                <w:sz w:val="21"/>
                <w:szCs w:val="21"/>
              </w:rPr>
            </w:pPr>
          </w:p>
        </w:tc>
      </w:tr>
      <w:tr w14:paraId="367EA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6BAD888">
            <w:pPr>
              <w:overflowPunct w:val="0"/>
              <w:topLinePunct/>
              <w:spacing w:after="0" w:line="320" w:lineRule="exact"/>
              <w:jc w:val="center"/>
              <w:rPr>
                <w:rFonts w:eastAsia="仿宋_GB2312"/>
                <w:sz w:val="21"/>
                <w:szCs w:val="21"/>
              </w:rPr>
            </w:pPr>
            <w:r>
              <w:rPr>
                <w:rFonts w:hint="eastAsia" w:eastAsia="仿宋_GB2312"/>
                <w:sz w:val="21"/>
                <w:szCs w:val="21"/>
              </w:rPr>
              <w:t>4</w:t>
            </w:r>
          </w:p>
        </w:tc>
        <w:tc>
          <w:tcPr>
            <w:tcW w:w="358" w:type="pct"/>
            <w:vMerge w:val="continue"/>
            <w:vAlign w:val="center"/>
          </w:tcPr>
          <w:p w14:paraId="708B2955">
            <w:pPr>
              <w:overflowPunct w:val="0"/>
              <w:topLinePunct/>
              <w:spacing w:after="0" w:line="320" w:lineRule="exact"/>
              <w:jc w:val="center"/>
              <w:rPr>
                <w:rFonts w:eastAsia="仿宋_GB2312"/>
                <w:sz w:val="21"/>
                <w:szCs w:val="21"/>
              </w:rPr>
            </w:pPr>
          </w:p>
        </w:tc>
        <w:tc>
          <w:tcPr>
            <w:tcW w:w="678" w:type="pct"/>
            <w:vAlign w:val="center"/>
          </w:tcPr>
          <w:p w14:paraId="36FC0AB8">
            <w:pPr>
              <w:overflowPunct w:val="0"/>
              <w:topLinePunct/>
              <w:spacing w:after="0" w:line="320" w:lineRule="exact"/>
              <w:jc w:val="center"/>
              <w:rPr>
                <w:rFonts w:eastAsia="仿宋_GB2312"/>
                <w:sz w:val="21"/>
                <w:szCs w:val="21"/>
              </w:rPr>
            </w:pPr>
            <w:r>
              <w:rPr>
                <w:rFonts w:hint="eastAsia" w:eastAsia="仿宋_GB2312"/>
                <w:sz w:val="21"/>
                <w:szCs w:val="21"/>
              </w:rPr>
              <w:t>社区低碳能源设施覆盖率（%）</w:t>
            </w:r>
          </w:p>
        </w:tc>
        <w:tc>
          <w:tcPr>
            <w:tcW w:w="790" w:type="pct"/>
            <w:vAlign w:val="center"/>
          </w:tcPr>
          <w:p w14:paraId="4217CD29">
            <w:pPr>
              <w:overflowPunct w:val="0"/>
              <w:topLinePunct/>
              <w:spacing w:after="0" w:line="320" w:lineRule="exact"/>
              <w:jc w:val="center"/>
              <w:rPr>
                <w:rFonts w:eastAsia="仿宋_GB2312"/>
                <w:sz w:val="21"/>
                <w:szCs w:val="21"/>
              </w:rPr>
            </w:pPr>
            <w:r>
              <w:rPr>
                <w:rFonts w:hint="eastAsia" w:eastAsia="仿宋_GB2312"/>
                <w:sz w:val="21"/>
                <w:szCs w:val="21"/>
              </w:rPr>
              <w:t>持续提高</w:t>
            </w:r>
          </w:p>
        </w:tc>
        <w:tc>
          <w:tcPr>
            <w:tcW w:w="1524" w:type="pct"/>
            <w:vAlign w:val="center"/>
          </w:tcPr>
          <w:p w14:paraId="643AE666">
            <w:pPr>
              <w:overflowPunct w:val="0"/>
              <w:topLinePunct/>
              <w:spacing w:after="0" w:line="320" w:lineRule="exact"/>
              <w:jc w:val="center"/>
              <w:rPr>
                <w:rFonts w:eastAsia="仿宋_GB2312"/>
                <w:sz w:val="21"/>
                <w:szCs w:val="21"/>
              </w:rPr>
            </w:pPr>
            <w:r>
              <w:rPr>
                <w:rFonts w:hint="eastAsia" w:eastAsia="仿宋_GB2312"/>
                <w:sz w:val="21"/>
                <w:szCs w:val="21"/>
              </w:rPr>
              <w:t>指城区配备充电站（桩）、换电站、分布式能源站等低碳能源设施的社区数量占社区总数的百分比。</w:t>
            </w:r>
          </w:p>
        </w:tc>
        <w:tc>
          <w:tcPr>
            <w:tcW w:w="683" w:type="pct"/>
            <w:vAlign w:val="center"/>
          </w:tcPr>
          <w:p w14:paraId="65851F08">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tc>
        <w:tc>
          <w:tcPr>
            <w:tcW w:w="368" w:type="pct"/>
            <w:vAlign w:val="center"/>
          </w:tcPr>
          <w:p w14:paraId="4345B7B6">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06213BF1">
            <w:pPr>
              <w:overflowPunct w:val="0"/>
              <w:topLinePunct/>
              <w:spacing w:after="0" w:line="320" w:lineRule="exact"/>
              <w:jc w:val="center"/>
              <w:rPr>
                <w:rFonts w:eastAsia="仿宋_GB2312"/>
                <w:sz w:val="21"/>
                <w:szCs w:val="21"/>
              </w:rPr>
            </w:pPr>
          </w:p>
        </w:tc>
      </w:tr>
      <w:tr w14:paraId="7FEAA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0F803B4">
            <w:pPr>
              <w:overflowPunct w:val="0"/>
              <w:topLinePunct/>
              <w:spacing w:after="0" w:line="320" w:lineRule="exact"/>
              <w:jc w:val="center"/>
              <w:rPr>
                <w:rFonts w:eastAsia="仿宋_GB2312"/>
                <w:sz w:val="21"/>
                <w:szCs w:val="21"/>
              </w:rPr>
            </w:pPr>
            <w:r>
              <w:rPr>
                <w:rFonts w:hint="eastAsia" w:eastAsia="仿宋_GB2312"/>
                <w:sz w:val="21"/>
                <w:szCs w:val="21"/>
              </w:rPr>
              <w:t>5</w:t>
            </w:r>
          </w:p>
        </w:tc>
        <w:tc>
          <w:tcPr>
            <w:tcW w:w="358" w:type="pct"/>
            <w:vMerge w:val="continue"/>
            <w:vAlign w:val="center"/>
          </w:tcPr>
          <w:p w14:paraId="5E8F7858">
            <w:pPr>
              <w:overflowPunct w:val="0"/>
              <w:topLinePunct/>
              <w:spacing w:after="0" w:line="320" w:lineRule="exact"/>
              <w:jc w:val="center"/>
              <w:rPr>
                <w:rFonts w:eastAsia="仿宋_GB2312"/>
                <w:sz w:val="21"/>
                <w:szCs w:val="21"/>
              </w:rPr>
            </w:pPr>
          </w:p>
        </w:tc>
        <w:tc>
          <w:tcPr>
            <w:tcW w:w="678" w:type="pct"/>
            <w:vAlign w:val="center"/>
          </w:tcPr>
          <w:p w14:paraId="13CA58EF">
            <w:pPr>
              <w:overflowPunct w:val="0"/>
              <w:topLinePunct/>
              <w:spacing w:after="0" w:line="320" w:lineRule="exact"/>
              <w:jc w:val="center"/>
              <w:rPr>
                <w:rFonts w:eastAsia="仿宋_GB2312"/>
                <w:sz w:val="21"/>
                <w:szCs w:val="21"/>
              </w:rPr>
            </w:pPr>
            <w:r>
              <w:rPr>
                <w:rFonts w:hint="eastAsia" w:eastAsia="仿宋_GB2312"/>
                <w:sz w:val="21"/>
                <w:szCs w:val="21"/>
              </w:rPr>
              <w:t>新开工绿色建筑面积占比（%）</w:t>
            </w:r>
          </w:p>
        </w:tc>
        <w:tc>
          <w:tcPr>
            <w:tcW w:w="790" w:type="pct"/>
            <w:vAlign w:val="center"/>
          </w:tcPr>
          <w:p w14:paraId="61B24804">
            <w:pPr>
              <w:overflowPunct w:val="0"/>
              <w:topLinePunct/>
              <w:spacing w:after="0" w:line="320" w:lineRule="exact"/>
              <w:jc w:val="center"/>
              <w:rPr>
                <w:rFonts w:eastAsia="仿宋_GB2312"/>
                <w:sz w:val="21"/>
                <w:szCs w:val="21"/>
              </w:rPr>
            </w:pPr>
            <w:r>
              <w:rPr>
                <w:rFonts w:hint="eastAsia" w:eastAsia="仿宋_GB2312"/>
                <w:sz w:val="21"/>
                <w:szCs w:val="21"/>
              </w:rPr>
              <w:t>100</w:t>
            </w:r>
          </w:p>
        </w:tc>
        <w:tc>
          <w:tcPr>
            <w:tcW w:w="1524" w:type="pct"/>
            <w:vAlign w:val="center"/>
          </w:tcPr>
          <w:p w14:paraId="44346933">
            <w:pPr>
              <w:overflowPunct w:val="0"/>
              <w:topLinePunct/>
              <w:spacing w:after="0" w:line="320" w:lineRule="exact"/>
              <w:jc w:val="center"/>
              <w:rPr>
                <w:rFonts w:eastAsia="仿宋_GB2312"/>
                <w:sz w:val="21"/>
                <w:szCs w:val="21"/>
              </w:rPr>
            </w:pPr>
            <w:r>
              <w:rPr>
                <w:rFonts w:hint="eastAsia" w:eastAsia="仿宋_GB2312"/>
                <w:sz w:val="21"/>
                <w:szCs w:val="21"/>
              </w:rPr>
              <w:t>指地区城镇建成区内达到《绿色建筑评价标准》（GB/T503878-2019）的当年新开工绿色建筑面积占当年新开工建筑总面积的比例。</w:t>
            </w:r>
          </w:p>
        </w:tc>
        <w:tc>
          <w:tcPr>
            <w:tcW w:w="683" w:type="pct"/>
            <w:vAlign w:val="center"/>
          </w:tcPr>
          <w:p w14:paraId="5987CE66">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tc>
        <w:tc>
          <w:tcPr>
            <w:tcW w:w="368" w:type="pct"/>
            <w:vAlign w:val="center"/>
          </w:tcPr>
          <w:p w14:paraId="0858F576">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3B44D1F3">
            <w:pPr>
              <w:overflowPunct w:val="0"/>
              <w:topLinePunct/>
              <w:spacing w:after="0" w:line="320" w:lineRule="exact"/>
              <w:jc w:val="center"/>
              <w:rPr>
                <w:rFonts w:eastAsia="仿宋_GB2312"/>
                <w:sz w:val="21"/>
                <w:szCs w:val="21"/>
              </w:rPr>
            </w:pPr>
          </w:p>
        </w:tc>
      </w:tr>
      <w:tr w14:paraId="66636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49DF7C6D">
            <w:pPr>
              <w:overflowPunct w:val="0"/>
              <w:topLinePunct/>
              <w:spacing w:after="0" w:line="320" w:lineRule="exact"/>
              <w:jc w:val="center"/>
              <w:rPr>
                <w:rFonts w:eastAsia="仿宋_GB2312"/>
                <w:sz w:val="21"/>
                <w:szCs w:val="21"/>
              </w:rPr>
            </w:pPr>
            <w:r>
              <w:rPr>
                <w:rFonts w:hint="eastAsia" w:eastAsia="仿宋_GB2312"/>
                <w:sz w:val="21"/>
                <w:szCs w:val="21"/>
              </w:rPr>
              <w:t>6</w:t>
            </w:r>
          </w:p>
        </w:tc>
        <w:tc>
          <w:tcPr>
            <w:tcW w:w="358" w:type="pct"/>
            <w:vMerge w:val="continue"/>
            <w:vAlign w:val="center"/>
          </w:tcPr>
          <w:p w14:paraId="41FD3936">
            <w:pPr>
              <w:overflowPunct w:val="0"/>
              <w:topLinePunct/>
              <w:spacing w:after="0" w:line="320" w:lineRule="exact"/>
              <w:jc w:val="center"/>
              <w:rPr>
                <w:rFonts w:eastAsia="仿宋_GB2312"/>
                <w:sz w:val="21"/>
                <w:szCs w:val="21"/>
              </w:rPr>
            </w:pPr>
          </w:p>
        </w:tc>
        <w:tc>
          <w:tcPr>
            <w:tcW w:w="678" w:type="pct"/>
            <w:vAlign w:val="center"/>
          </w:tcPr>
          <w:p w14:paraId="0F4564E6">
            <w:pPr>
              <w:overflowPunct w:val="0"/>
              <w:topLinePunct/>
              <w:spacing w:after="0" w:line="320" w:lineRule="exact"/>
              <w:jc w:val="center"/>
              <w:rPr>
                <w:rFonts w:eastAsia="仿宋_GB2312"/>
                <w:sz w:val="21"/>
                <w:szCs w:val="21"/>
              </w:rPr>
            </w:pPr>
            <w:r>
              <w:rPr>
                <w:rFonts w:hint="eastAsia" w:eastAsia="仿宋_GB2312"/>
                <w:sz w:val="21"/>
                <w:szCs w:val="21"/>
              </w:rPr>
              <w:t>绿色出行比例（%）</w:t>
            </w:r>
          </w:p>
        </w:tc>
        <w:tc>
          <w:tcPr>
            <w:tcW w:w="790" w:type="pct"/>
            <w:vAlign w:val="center"/>
          </w:tcPr>
          <w:p w14:paraId="1C7418F9">
            <w:pPr>
              <w:overflowPunct w:val="0"/>
              <w:topLinePunct/>
              <w:spacing w:after="0" w:line="320" w:lineRule="exact"/>
              <w:jc w:val="center"/>
              <w:rPr>
                <w:rFonts w:eastAsia="仿宋_GB2312"/>
                <w:sz w:val="21"/>
                <w:szCs w:val="21"/>
              </w:rPr>
            </w:pPr>
            <w:r>
              <w:rPr>
                <w:rFonts w:hint="eastAsia" w:eastAsia="仿宋_GB2312"/>
                <w:sz w:val="21"/>
                <w:szCs w:val="21"/>
              </w:rPr>
              <w:t>≥70</w:t>
            </w:r>
          </w:p>
        </w:tc>
        <w:tc>
          <w:tcPr>
            <w:tcW w:w="1524" w:type="pct"/>
            <w:vAlign w:val="center"/>
          </w:tcPr>
          <w:p w14:paraId="7527DB0E">
            <w:pPr>
              <w:overflowPunct w:val="0"/>
              <w:topLinePunct/>
              <w:spacing w:after="0" w:line="320" w:lineRule="exact"/>
              <w:jc w:val="center"/>
              <w:rPr>
                <w:rFonts w:eastAsia="仿宋_GB2312"/>
                <w:sz w:val="21"/>
                <w:szCs w:val="21"/>
              </w:rPr>
            </w:pPr>
            <w:r>
              <w:rPr>
                <w:rFonts w:hint="eastAsia" w:eastAsia="仿宋_GB2312"/>
                <w:sz w:val="21"/>
                <w:szCs w:val="21"/>
              </w:rPr>
              <w:t>指地区居民使用城市轨道交通、公共汽电车、自行车和步行等绿色出行方式的出行量占全部出行量的比例。</w:t>
            </w:r>
          </w:p>
        </w:tc>
        <w:tc>
          <w:tcPr>
            <w:tcW w:w="683" w:type="pct"/>
            <w:vAlign w:val="center"/>
          </w:tcPr>
          <w:p w14:paraId="02EE227E">
            <w:pPr>
              <w:overflowPunct w:val="0"/>
              <w:topLinePunct/>
              <w:spacing w:after="0" w:line="320" w:lineRule="exact"/>
              <w:jc w:val="center"/>
              <w:rPr>
                <w:rFonts w:eastAsia="仿宋_GB2312"/>
                <w:sz w:val="21"/>
                <w:szCs w:val="21"/>
              </w:rPr>
            </w:pPr>
            <w:r>
              <w:rPr>
                <w:rFonts w:hint="eastAsia" w:eastAsia="仿宋_GB2312"/>
                <w:sz w:val="21"/>
                <w:szCs w:val="21"/>
              </w:rPr>
              <w:t>交通运输厅</w:t>
            </w:r>
          </w:p>
        </w:tc>
        <w:tc>
          <w:tcPr>
            <w:tcW w:w="368" w:type="pct"/>
            <w:vAlign w:val="center"/>
          </w:tcPr>
          <w:p w14:paraId="27F6BCCC">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777249AE">
            <w:pPr>
              <w:overflowPunct w:val="0"/>
              <w:topLinePunct/>
              <w:spacing w:after="0" w:line="320" w:lineRule="exact"/>
              <w:jc w:val="center"/>
              <w:rPr>
                <w:rFonts w:eastAsia="仿宋_GB2312"/>
                <w:sz w:val="21"/>
                <w:szCs w:val="21"/>
              </w:rPr>
            </w:pPr>
          </w:p>
        </w:tc>
      </w:tr>
      <w:tr w14:paraId="68FB1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E714058">
            <w:pPr>
              <w:overflowPunct w:val="0"/>
              <w:topLinePunct/>
              <w:spacing w:after="0" w:line="320" w:lineRule="exact"/>
              <w:jc w:val="center"/>
              <w:rPr>
                <w:rFonts w:eastAsia="仿宋_GB2312"/>
                <w:sz w:val="21"/>
                <w:szCs w:val="21"/>
              </w:rPr>
            </w:pPr>
            <w:r>
              <w:rPr>
                <w:rFonts w:hint="eastAsia" w:eastAsia="仿宋_GB2312"/>
                <w:sz w:val="21"/>
                <w:szCs w:val="21"/>
              </w:rPr>
              <w:t>7</w:t>
            </w:r>
          </w:p>
        </w:tc>
        <w:tc>
          <w:tcPr>
            <w:tcW w:w="358" w:type="pct"/>
            <w:vMerge w:val="restart"/>
            <w:vAlign w:val="center"/>
          </w:tcPr>
          <w:p w14:paraId="692C70DA">
            <w:pPr>
              <w:overflowPunct w:val="0"/>
              <w:topLinePunct/>
              <w:spacing w:after="0" w:line="320" w:lineRule="exact"/>
              <w:jc w:val="center"/>
              <w:rPr>
                <w:rFonts w:eastAsia="仿宋_GB2312"/>
                <w:sz w:val="21"/>
                <w:szCs w:val="21"/>
              </w:rPr>
            </w:pPr>
            <w:r>
              <w:rPr>
                <w:rFonts w:hint="eastAsia" w:eastAsia="仿宋_GB2312"/>
                <w:sz w:val="21"/>
                <w:szCs w:val="21"/>
              </w:rPr>
              <w:t>环境优美</w:t>
            </w:r>
          </w:p>
        </w:tc>
        <w:tc>
          <w:tcPr>
            <w:tcW w:w="678" w:type="pct"/>
            <w:vAlign w:val="center"/>
          </w:tcPr>
          <w:p w14:paraId="2D20224F">
            <w:pPr>
              <w:overflowPunct w:val="0"/>
              <w:topLinePunct/>
              <w:spacing w:after="0" w:line="320" w:lineRule="exact"/>
              <w:jc w:val="center"/>
              <w:rPr>
                <w:rFonts w:eastAsia="仿宋_GB2312"/>
                <w:sz w:val="21"/>
                <w:szCs w:val="21"/>
              </w:rPr>
            </w:pPr>
            <w:r>
              <w:rPr>
                <w:rFonts w:hint="eastAsia" w:eastAsia="仿宋_GB2312"/>
                <w:sz w:val="21"/>
                <w:szCs w:val="21"/>
              </w:rPr>
              <w:t>城市细颗粒物（PM</w:t>
            </w:r>
            <w:r>
              <w:rPr>
                <w:rFonts w:hint="eastAsia" w:eastAsia="仿宋_GB2312"/>
                <w:sz w:val="21"/>
                <w:szCs w:val="21"/>
                <w:vertAlign w:val="subscript"/>
              </w:rPr>
              <w:t>2.5</w:t>
            </w:r>
            <w:r>
              <w:rPr>
                <w:rFonts w:hint="eastAsia" w:eastAsia="仿宋_GB2312"/>
                <w:sz w:val="21"/>
                <w:szCs w:val="21"/>
              </w:rPr>
              <w:t>）浓度</w:t>
            </w:r>
          </w:p>
          <w:p w14:paraId="1CAAD61A">
            <w:pPr>
              <w:overflowPunct w:val="0"/>
              <w:topLinePunct/>
              <w:spacing w:after="0" w:line="320" w:lineRule="exact"/>
              <w:jc w:val="center"/>
              <w:rPr>
                <w:rFonts w:eastAsia="仿宋_GB2312"/>
                <w:sz w:val="21"/>
                <w:szCs w:val="21"/>
              </w:rPr>
            </w:pPr>
            <w:r>
              <w:rPr>
                <w:rFonts w:hint="eastAsia" w:eastAsia="仿宋_GB2312"/>
                <w:sz w:val="21"/>
                <w:szCs w:val="21"/>
              </w:rPr>
              <w:t>（μg/m</w:t>
            </w:r>
            <w:r>
              <w:rPr>
                <w:rFonts w:hint="eastAsia" w:eastAsia="仿宋_GB2312"/>
                <w:sz w:val="21"/>
                <w:szCs w:val="21"/>
                <w:vertAlign w:val="superscript"/>
              </w:rPr>
              <w:t>3</w:t>
            </w:r>
            <w:r>
              <w:rPr>
                <w:rFonts w:hint="eastAsia" w:eastAsia="仿宋_GB2312"/>
                <w:sz w:val="21"/>
                <w:szCs w:val="21"/>
              </w:rPr>
              <w:t>）</w:t>
            </w:r>
          </w:p>
        </w:tc>
        <w:tc>
          <w:tcPr>
            <w:tcW w:w="790" w:type="pct"/>
            <w:vAlign w:val="center"/>
          </w:tcPr>
          <w:p w14:paraId="0E23F4FE">
            <w:pPr>
              <w:overflowPunct w:val="0"/>
              <w:topLinePunct/>
              <w:spacing w:after="0" w:line="320" w:lineRule="exact"/>
              <w:jc w:val="center"/>
              <w:rPr>
                <w:rFonts w:eastAsia="仿宋_GB2312"/>
                <w:sz w:val="21"/>
                <w:szCs w:val="21"/>
              </w:rPr>
            </w:pPr>
            <w:r>
              <w:rPr>
                <w:rFonts w:hint="eastAsia" w:eastAsia="仿宋_GB2312"/>
                <w:sz w:val="21"/>
                <w:szCs w:val="21"/>
              </w:rPr>
              <w:t>完成上级下达目标要求，且≤30或持续下降</w:t>
            </w:r>
          </w:p>
        </w:tc>
        <w:tc>
          <w:tcPr>
            <w:tcW w:w="1524" w:type="pct"/>
            <w:vAlign w:val="center"/>
          </w:tcPr>
          <w:p w14:paraId="71FB21E8">
            <w:pPr>
              <w:overflowPunct w:val="0"/>
              <w:topLinePunct/>
              <w:spacing w:after="0" w:line="320" w:lineRule="exact"/>
              <w:jc w:val="center"/>
              <w:rPr>
                <w:rFonts w:eastAsia="仿宋_GB2312"/>
                <w:sz w:val="21"/>
                <w:szCs w:val="21"/>
              </w:rPr>
            </w:pPr>
            <w:r>
              <w:rPr>
                <w:rFonts w:hint="eastAsia" w:eastAsia="仿宋_GB2312"/>
                <w:sz w:val="21"/>
                <w:szCs w:val="21"/>
              </w:rPr>
              <w:t>指地区空气动力学当量直径小于2.5μm的悬浮颗粒物在环境空气中的浓度。参照《环境空气质量标准》（GB3095-2012）及其配套文件测算。</w:t>
            </w:r>
          </w:p>
        </w:tc>
        <w:tc>
          <w:tcPr>
            <w:tcW w:w="683" w:type="pct"/>
            <w:vAlign w:val="center"/>
          </w:tcPr>
          <w:p w14:paraId="5A98FF09">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48A1B3C6">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571968D0">
            <w:pPr>
              <w:overflowPunct w:val="0"/>
              <w:topLinePunct/>
              <w:spacing w:after="0" w:line="320" w:lineRule="exact"/>
              <w:jc w:val="center"/>
              <w:rPr>
                <w:rFonts w:eastAsia="仿宋_GB2312"/>
                <w:sz w:val="21"/>
                <w:szCs w:val="21"/>
              </w:rPr>
            </w:pPr>
          </w:p>
        </w:tc>
      </w:tr>
      <w:tr w14:paraId="14118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E5425AD">
            <w:pPr>
              <w:overflowPunct w:val="0"/>
              <w:topLinePunct/>
              <w:spacing w:after="0" w:line="320" w:lineRule="exact"/>
              <w:jc w:val="center"/>
              <w:rPr>
                <w:rFonts w:eastAsia="仿宋_GB2312"/>
                <w:sz w:val="21"/>
                <w:szCs w:val="21"/>
              </w:rPr>
            </w:pPr>
            <w:r>
              <w:rPr>
                <w:rFonts w:hint="eastAsia" w:eastAsia="仿宋_GB2312"/>
                <w:sz w:val="21"/>
                <w:szCs w:val="21"/>
              </w:rPr>
              <w:t>8</w:t>
            </w:r>
          </w:p>
        </w:tc>
        <w:tc>
          <w:tcPr>
            <w:tcW w:w="358" w:type="pct"/>
            <w:vMerge w:val="continue"/>
            <w:vAlign w:val="center"/>
          </w:tcPr>
          <w:p w14:paraId="28BFF6D9">
            <w:pPr>
              <w:overflowPunct w:val="0"/>
              <w:topLinePunct/>
              <w:spacing w:after="0" w:line="320" w:lineRule="exact"/>
              <w:jc w:val="center"/>
              <w:rPr>
                <w:rFonts w:eastAsia="仿宋_GB2312"/>
                <w:sz w:val="21"/>
                <w:szCs w:val="21"/>
              </w:rPr>
            </w:pPr>
          </w:p>
        </w:tc>
        <w:tc>
          <w:tcPr>
            <w:tcW w:w="678" w:type="pct"/>
            <w:vAlign w:val="center"/>
          </w:tcPr>
          <w:p w14:paraId="4E68482E">
            <w:pPr>
              <w:overflowPunct w:val="0"/>
              <w:topLinePunct/>
              <w:spacing w:after="0" w:line="320" w:lineRule="exact"/>
              <w:jc w:val="center"/>
              <w:rPr>
                <w:rFonts w:eastAsia="仿宋_GB2312"/>
                <w:sz w:val="21"/>
                <w:szCs w:val="21"/>
              </w:rPr>
            </w:pPr>
            <w:r>
              <w:rPr>
                <w:rFonts w:hint="eastAsia" w:eastAsia="仿宋_GB2312"/>
                <w:sz w:val="21"/>
                <w:szCs w:val="21"/>
              </w:rPr>
              <w:t>美丽河湖建设比例（%）</w:t>
            </w:r>
          </w:p>
        </w:tc>
        <w:tc>
          <w:tcPr>
            <w:tcW w:w="790" w:type="pct"/>
            <w:vAlign w:val="center"/>
          </w:tcPr>
          <w:p w14:paraId="02E7A2D2">
            <w:pPr>
              <w:overflowPunct w:val="0"/>
              <w:topLinePunct/>
              <w:spacing w:after="0" w:line="320" w:lineRule="exact"/>
              <w:jc w:val="center"/>
              <w:rPr>
                <w:rFonts w:eastAsia="仿宋_GB2312"/>
                <w:sz w:val="21"/>
                <w:szCs w:val="21"/>
              </w:rPr>
            </w:pPr>
            <w:r>
              <w:rPr>
                <w:rFonts w:hint="eastAsia" w:eastAsia="仿宋_GB2312"/>
                <w:sz w:val="21"/>
                <w:szCs w:val="21"/>
              </w:rPr>
              <w:t>完成上级下达目标要求</w:t>
            </w:r>
          </w:p>
        </w:tc>
        <w:tc>
          <w:tcPr>
            <w:tcW w:w="1524" w:type="pct"/>
            <w:vAlign w:val="center"/>
          </w:tcPr>
          <w:p w14:paraId="1675FB4F">
            <w:pPr>
              <w:overflowPunct w:val="0"/>
              <w:topLinePunct/>
              <w:spacing w:after="0" w:line="320" w:lineRule="exact"/>
              <w:jc w:val="center"/>
              <w:rPr>
                <w:rFonts w:eastAsia="仿宋_GB2312"/>
                <w:sz w:val="21"/>
                <w:szCs w:val="21"/>
              </w:rPr>
            </w:pPr>
            <w:r>
              <w:rPr>
                <w:rFonts w:hint="eastAsia" w:eastAsia="仿宋_GB2312"/>
                <w:sz w:val="21"/>
                <w:szCs w:val="21"/>
              </w:rPr>
              <w:t>指流经或位于城区的水体建成美丽河湖比例。</w:t>
            </w:r>
          </w:p>
        </w:tc>
        <w:tc>
          <w:tcPr>
            <w:tcW w:w="683" w:type="pct"/>
            <w:vAlign w:val="center"/>
          </w:tcPr>
          <w:p w14:paraId="71BFB9D1">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4E543C68">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6111001E">
            <w:pPr>
              <w:overflowPunct w:val="0"/>
              <w:topLinePunct/>
              <w:spacing w:after="0" w:line="320" w:lineRule="exact"/>
              <w:jc w:val="center"/>
              <w:rPr>
                <w:rFonts w:eastAsia="仿宋_GB2312"/>
                <w:sz w:val="21"/>
                <w:szCs w:val="21"/>
              </w:rPr>
            </w:pPr>
          </w:p>
        </w:tc>
      </w:tr>
      <w:tr w14:paraId="167D8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604D0A4B">
            <w:pPr>
              <w:overflowPunct w:val="0"/>
              <w:topLinePunct/>
              <w:spacing w:after="0" w:line="320" w:lineRule="exact"/>
              <w:jc w:val="center"/>
              <w:rPr>
                <w:rFonts w:eastAsia="仿宋_GB2312"/>
                <w:sz w:val="21"/>
                <w:szCs w:val="21"/>
              </w:rPr>
            </w:pPr>
            <w:r>
              <w:rPr>
                <w:rFonts w:hint="eastAsia" w:eastAsia="仿宋_GB2312"/>
                <w:sz w:val="21"/>
                <w:szCs w:val="21"/>
              </w:rPr>
              <w:t>9</w:t>
            </w:r>
          </w:p>
        </w:tc>
        <w:tc>
          <w:tcPr>
            <w:tcW w:w="358" w:type="pct"/>
            <w:vMerge w:val="continue"/>
            <w:vAlign w:val="center"/>
          </w:tcPr>
          <w:p w14:paraId="64F31973">
            <w:pPr>
              <w:overflowPunct w:val="0"/>
              <w:topLinePunct/>
              <w:spacing w:after="0" w:line="320" w:lineRule="exact"/>
              <w:jc w:val="center"/>
              <w:rPr>
                <w:rFonts w:eastAsia="仿宋_GB2312"/>
                <w:sz w:val="21"/>
                <w:szCs w:val="21"/>
              </w:rPr>
            </w:pPr>
          </w:p>
        </w:tc>
        <w:tc>
          <w:tcPr>
            <w:tcW w:w="678" w:type="pct"/>
            <w:vAlign w:val="center"/>
          </w:tcPr>
          <w:p w14:paraId="31537917">
            <w:pPr>
              <w:overflowPunct w:val="0"/>
              <w:topLinePunct/>
              <w:spacing w:after="0" w:line="320" w:lineRule="exact"/>
              <w:jc w:val="center"/>
              <w:rPr>
                <w:rFonts w:eastAsia="仿宋_GB2312"/>
                <w:sz w:val="21"/>
                <w:szCs w:val="21"/>
              </w:rPr>
            </w:pPr>
            <w:r>
              <w:rPr>
                <w:rFonts w:hint="eastAsia" w:eastAsia="仿宋_GB2312"/>
                <w:sz w:val="21"/>
                <w:szCs w:val="21"/>
              </w:rPr>
              <w:t>幸福河湖建设条数</w:t>
            </w:r>
          </w:p>
        </w:tc>
        <w:tc>
          <w:tcPr>
            <w:tcW w:w="790" w:type="pct"/>
            <w:vAlign w:val="center"/>
          </w:tcPr>
          <w:p w14:paraId="2BDA3C3A">
            <w:pPr>
              <w:overflowPunct w:val="0"/>
              <w:topLinePunct/>
              <w:spacing w:after="0" w:line="320" w:lineRule="exact"/>
              <w:jc w:val="center"/>
              <w:rPr>
                <w:rFonts w:eastAsia="仿宋_GB2312"/>
                <w:sz w:val="21"/>
                <w:szCs w:val="21"/>
              </w:rPr>
            </w:pPr>
            <w:r>
              <w:rPr>
                <w:rFonts w:hint="eastAsia" w:eastAsia="仿宋_GB2312"/>
                <w:sz w:val="21"/>
                <w:szCs w:val="21"/>
              </w:rPr>
              <w:t>完成上级下达目标要求</w:t>
            </w:r>
          </w:p>
        </w:tc>
        <w:tc>
          <w:tcPr>
            <w:tcW w:w="1524" w:type="pct"/>
            <w:vAlign w:val="center"/>
          </w:tcPr>
          <w:p w14:paraId="1CC387B1">
            <w:pPr>
              <w:overflowPunct w:val="0"/>
              <w:topLinePunct/>
              <w:spacing w:after="0" w:line="320" w:lineRule="exact"/>
              <w:jc w:val="center"/>
              <w:rPr>
                <w:rFonts w:eastAsia="仿宋_GB2312"/>
                <w:sz w:val="21"/>
                <w:szCs w:val="21"/>
              </w:rPr>
            </w:pPr>
            <w:r>
              <w:rPr>
                <w:rFonts w:hint="eastAsia" w:eastAsia="仿宋_GB2312"/>
                <w:sz w:val="21"/>
                <w:szCs w:val="21"/>
              </w:rPr>
              <w:t>指流经或位于城区的水体建成幸福河湖建设条数。</w:t>
            </w:r>
          </w:p>
        </w:tc>
        <w:tc>
          <w:tcPr>
            <w:tcW w:w="683" w:type="pct"/>
            <w:vAlign w:val="center"/>
          </w:tcPr>
          <w:p w14:paraId="33D9D804">
            <w:pPr>
              <w:overflowPunct w:val="0"/>
              <w:topLinePunct/>
              <w:spacing w:after="0" w:line="320" w:lineRule="exact"/>
              <w:jc w:val="center"/>
              <w:rPr>
                <w:rFonts w:eastAsia="仿宋_GB2312"/>
                <w:sz w:val="21"/>
                <w:szCs w:val="21"/>
              </w:rPr>
            </w:pPr>
            <w:r>
              <w:rPr>
                <w:rFonts w:hint="eastAsia" w:eastAsia="仿宋_GB2312"/>
                <w:sz w:val="21"/>
                <w:szCs w:val="21"/>
              </w:rPr>
              <w:t>水利厅</w:t>
            </w:r>
          </w:p>
        </w:tc>
        <w:tc>
          <w:tcPr>
            <w:tcW w:w="368" w:type="pct"/>
            <w:vAlign w:val="center"/>
          </w:tcPr>
          <w:p w14:paraId="65957620">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68708194">
            <w:pPr>
              <w:overflowPunct w:val="0"/>
              <w:topLinePunct/>
              <w:spacing w:after="0" w:line="320" w:lineRule="exact"/>
              <w:jc w:val="center"/>
              <w:rPr>
                <w:rFonts w:eastAsia="仿宋_GB2312"/>
                <w:sz w:val="21"/>
                <w:szCs w:val="21"/>
              </w:rPr>
            </w:pPr>
            <w:r>
              <w:rPr>
                <w:rFonts w:hint="eastAsia" w:eastAsia="仿宋_GB2312"/>
                <w:sz w:val="21"/>
                <w:szCs w:val="21"/>
              </w:rPr>
              <w:t>特色指标</w:t>
            </w:r>
          </w:p>
        </w:tc>
      </w:tr>
      <w:tr w14:paraId="387C1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0FD33BDD">
            <w:pPr>
              <w:overflowPunct w:val="0"/>
              <w:topLinePunct/>
              <w:spacing w:after="0" w:line="320" w:lineRule="exact"/>
              <w:jc w:val="center"/>
              <w:rPr>
                <w:rFonts w:eastAsia="仿宋_GB2312"/>
                <w:sz w:val="21"/>
                <w:szCs w:val="21"/>
              </w:rPr>
            </w:pPr>
            <w:r>
              <w:rPr>
                <w:rFonts w:hint="eastAsia" w:eastAsia="仿宋_GB2312"/>
                <w:sz w:val="21"/>
                <w:szCs w:val="21"/>
              </w:rPr>
              <w:t>10</w:t>
            </w:r>
          </w:p>
        </w:tc>
        <w:tc>
          <w:tcPr>
            <w:tcW w:w="358" w:type="pct"/>
            <w:vMerge w:val="continue"/>
            <w:vAlign w:val="center"/>
          </w:tcPr>
          <w:p w14:paraId="16921234">
            <w:pPr>
              <w:overflowPunct w:val="0"/>
              <w:topLinePunct/>
              <w:spacing w:after="0" w:line="320" w:lineRule="exact"/>
              <w:jc w:val="center"/>
              <w:rPr>
                <w:rFonts w:eastAsia="仿宋_GB2312"/>
                <w:sz w:val="21"/>
                <w:szCs w:val="21"/>
              </w:rPr>
            </w:pPr>
          </w:p>
        </w:tc>
        <w:tc>
          <w:tcPr>
            <w:tcW w:w="678" w:type="pct"/>
            <w:vAlign w:val="center"/>
          </w:tcPr>
          <w:p w14:paraId="1B826DAC">
            <w:pPr>
              <w:overflowPunct w:val="0"/>
              <w:topLinePunct/>
              <w:spacing w:after="0" w:line="320" w:lineRule="exact"/>
              <w:jc w:val="center"/>
              <w:rPr>
                <w:rFonts w:eastAsia="仿宋_GB2312"/>
                <w:sz w:val="21"/>
                <w:szCs w:val="21"/>
              </w:rPr>
            </w:pPr>
            <w:r>
              <w:rPr>
                <w:rFonts w:hint="eastAsia" w:eastAsia="仿宋_GB2312"/>
                <w:sz w:val="21"/>
                <w:szCs w:val="21"/>
              </w:rPr>
              <w:t>城市生活污水集中收集率（%）</w:t>
            </w:r>
          </w:p>
        </w:tc>
        <w:tc>
          <w:tcPr>
            <w:tcW w:w="790" w:type="pct"/>
            <w:vAlign w:val="center"/>
          </w:tcPr>
          <w:p w14:paraId="596A14C9">
            <w:pPr>
              <w:overflowPunct w:val="0"/>
              <w:topLinePunct/>
              <w:spacing w:after="0" w:line="320" w:lineRule="exact"/>
              <w:jc w:val="center"/>
              <w:rPr>
                <w:rFonts w:eastAsia="仿宋_GB2312"/>
                <w:sz w:val="21"/>
                <w:szCs w:val="21"/>
              </w:rPr>
            </w:pPr>
            <w:r>
              <w:rPr>
                <w:rFonts w:hint="eastAsia" w:eastAsia="仿宋_GB2312"/>
                <w:sz w:val="21"/>
                <w:szCs w:val="21"/>
              </w:rPr>
              <w:t>完成上级下达目标要求且持续提升</w:t>
            </w:r>
          </w:p>
        </w:tc>
        <w:tc>
          <w:tcPr>
            <w:tcW w:w="1524" w:type="pct"/>
            <w:vAlign w:val="center"/>
          </w:tcPr>
          <w:p w14:paraId="10379A3D">
            <w:pPr>
              <w:overflowPunct w:val="0"/>
              <w:topLinePunct/>
              <w:spacing w:after="0" w:line="320" w:lineRule="exact"/>
              <w:jc w:val="center"/>
              <w:rPr>
                <w:rFonts w:eastAsia="仿宋_GB2312"/>
                <w:sz w:val="21"/>
                <w:szCs w:val="21"/>
              </w:rPr>
            </w:pPr>
            <w:r>
              <w:rPr>
                <w:rFonts w:hint="eastAsia" w:eastAsia="仿宋_GB2312"/>
                <w:sz w:val="21"/>
                <w:szCs w:val="21"/>
              </w:rPr>
              <w:t>指报告期内向污水处理厂排水的城区人口占城区用水总人口的比例。</w:t>
            </w:r>
          </w:p>
        </w:tc>
        <w:tc>
          <w:tcPr>
            <w:tcW w:w="683" w:type="pct"/>
            <w:vAlign w:val="center"/>
          </w:tcPr>
          <w:p w14:paraId="22F33FD4">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tc>
        <w:tc>
          <w:tcPr>
            <w:tcW w:w="368" w:type="pct"/>
            <w:vAlign w:val="center"/>
          </w:tcPr>
          <w:p w14:paraId="49A1B66D">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0DB2D657">
            <w:pPr>
              <w:overflowPunct w:val="0"/>
              <w:topLinePunct/>
              <w:spacing w:after="0" w:line="320" w:lineRule="exact"/>
              <w:jc w:val="center"/>
              <w:rPr>
                <w:rFonts w:eastAsia="仿宋_GB2312"/>
                <w:sz w:val="21"/>
                <w:szCs w:val="21"/>
              </w:rPr>
            </w:pPr>
          </w:p>
        </w:tc>
      </w:tr>
      <w:tr w14:paraId="656C3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15347052">
            <w:pPr>
              <w:overflowPunct w:val="0"/>
              <w:topLinePunct/>
              <w:spacing w:after="0" w:line="320" w:lineRule="exact"/>
              <w:jc w:val="center"/>
              <w:rPr>
                <w:rFonts w:eastAsia="仿宋_GB2312"/>
                <w:sz w:val="21"/>
                <w:szCs w:val="21"/>
              </w:rPr>
            </w:pPr>
            <w:r>
              <w:rPr>
                <w:rFonts w:hint="eastAsia" w:eastAsia="仿宋_GB2312"/>
                <w:sz w:val="21"/>
                <w:szCs w:val="21"/>
              </w:rPr>
              <w:t>11</w:t>
            </w:r>
          </w:p>
        </w:tc>
        <w:tc>
          <w:tcPr>
            <w:tcW w:w="358" w:type="pct"/>
            <w:vMerge w:val="continue"/>
            <w:vAlign w:val="center"/>
          </w:tcPr>
          <w:p w14:paraId="1527E766">
            <w:pPr>
              <w:overflowPunct w:val="0"/>
              <w:topLinePunct/>
              <w:spacing w:after="0" w:line="320" w:lineRule="exact"/>
              <w:jc w:val="center"/>
              <w:rPr>
                <w:rFonts w:eastAsia="仿宋_GB2312"/>
                <w:sz w:val="21"/>
                <w:szCs w:val="21"/>
              </w:rPr>
            </w:pPr>
          </w:p>
        </w:tc>
        <w:tc>
          <w:tcPr>
            <w:tcW w:w="678" w:type="pct"/>
            <w:vAlign w:val="center"/>
          </w:tcPr>
          <w:p w14:paraId="22EE1F40">
            <w:pPr>
              <w:overflowPunct w:val="0"/>
              <w:topLinePunct/>
              <w:spacing w:after="0" w:line="320" w:lineRule="exact"/>
              <w:jc w:val="center"/>
              <w:rPr>
                <w:rFonts w:eastAsia="仿宋_GB2312"/>
                <w:sz w:val="21"/>
                <w:szCs w:val="21"/>
              </w:rPr>
            </w:pPr>
            <w:r>
              <w:rPr>
                <w:rFonts w:hint="eastAsia" w:eastAsia="仿宋_GB2312"/>
                <w:sz w:val="21"/>
                <w:szCs w:val="21"/>
              </w:rPr>
              <w:t>建设用地安全利用</w:t>
            </w:r>
          </w:p>
        </w:tc>
        <w:tc>
          <w:tcPr>
            <w:tcW w:w="790" w:type="pct"/>
            <w:vAlign w:val="center"/>
          </w:tcPr>
          <w:p w14:paraId="4BDA78E6">
            <w:pPr>
              <w:overflowPunct w:val="0"/>
              <w:topLinePunct/>
              <w:spacing w:after="0" w:line="320" w:lineRule="exact"/>
              <w:jc w:val="center"/>
              <w:rPr>
                <w:rFonts w:eastAsia="仿宋_GB2312"/>
                <w:sz w:val="21"/>
                <w:szCs w:val="21"/>
              </w:rPr>
            </w:pPr>
            <w:r>
              <w:rPr>
                <w:rFonts w:hint="eastAsia" w:eastAsia="仿宋_GB2312"/>
                <w:sz w:val="21"/>
                <w:szCs w:val="21"/>
              </w:rPr>
              <w:t>有效保障</w:t>
            </w:r>
          </w:p>
        </w:tc>
        <w:tc>
          <w:tcPr>
            <w:tcW w:w="1524" w:type="pct"/>
            <w:vAlign w:val="center"/>
          </w:tcPr>
          <w:p w14:paraId="28635080">
            <w:pPr>
              <w:overflowPunct w:val="0"/>
              <w:topLinePunct/>
              <w:spacing w:after="0" w:line="320" w:lineRule="exact"/>
              <w:jc w:val="center"/>
              <w:rPr>
                <w:rFonts w:eastAsia="仿宋_GB2312"/>
                <w:sz w:val="21"/>
                <w:szCs w:val="21"/>
              </w:rPr>
            </w:pPr>
            <w:r>
              <w:rPr>
                <w:rFonts w:hint="eastAsia" w:eastAsia="仿宋_GB2312"/>
                <w:sz w:val="21"/>
                <w:szCs w:val="21"/>
              </w:rPr>
              <w:t>依据《中华人民共和国土壤污染防治法》和国家制定的建设用地安全利用指标核算方法，落实了土壤污染风险管控和修复措施的地块数占总地块数的百分比。</w:t>
            </w:r>
          </w:p>
        </w:tc>
        <w:tc>
          <w:tcPr>
            <w:tcW w:w="683" w:type="pct"/>
            <w:vAlign w:val="center"/>
          </w:tcPr>
          <w:p w14:paraId="6832326F">
            <w:pPr>
              <w:overflowPunct w:val="0"/>
              <w:topLinePunct/>
              <w:spacing w:after="0" w:line="320" w:lineRule="exact"/>
              <w:jc w:val="center"/>
              <w:rPr>
                <w:rFonts w:eastAsia="仿宋_GB2312"/>
                <w:sz w:val="21"/>
                <w:szCs w:val="21"/>
              </w:rPr>
            </w:pPr>
            <w:r>
              <w:rPr>
                <w:rFonts w:hint="eastAsia" w:eastAsia="仿宋_GB2312"/>
                <w:sz w:val="21"/>
                <w:szCs w:val="21"/>
              </w:rPr>
              <w:t>生态环境厅、</w:t>
            </w:r>
          </w:p>
          <w:p w14:paraId="47D574FC">
            <w:pPr>
              <w:overflowPunct w:val="0"/>
              <w:topLinePunct/>
              <w:spacing w:after="0" w:line="320" w:lineRule="exact"/>
              <w:jc w:val="center"/>
              <w:rPr>
                <w:rFonts w:eastAsia="仿宋_GB2312"/>
                <w:sz w:val="21"/>
                <w:szCs w:val="21"/>
              </w:rPr>
            </w:pPr>
            <w:r>
              <w:rPr>
                <w:rFonts w:hint="eastAsia" w:eastAsia="仿宋_GB2312"/>
                <w:sz w:val="21"/>
                <w:szCs w:val="21"/>
              </w:rPr>
              <w:t>自然资源厅</w:t>
            </w:r>
          </w:p>
        </w:tc>
        <w:tc>
          <w:tcPr>
            <w:tcW w:w="368" w:type="pct"/>
            <w:vAlign w:val="center"/>
          </w:tcPr>
          <w:p w14:paraId="3BB9F196">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4E8AC74C">
            <w:pPr>
              <w:overflowPunct w:val="0"/>
              <w:topLinePunct/>
              <w:spacing w:after="0" w:line="320" w:lineRule="exact"/>
              <w:jc w:val="center"/>
              <w:rPr>
                <w:rFonts w:eastAsia="仿宋_GB2312"/>
                <w:sz w:val="21"/>
                <w:szCs w:val="21"/>
              </w:rPr>
            </w:pPr>
          </w:p>
        </w:tc>
      </w:tr>
      <w:tr w14:paraId="279FA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15C1BB0E">
            <w:pPr>
              <w:overflowPunct w:val="0"/>
              <w:topLinePunct/>
              <w:spacing w:after="0" w:line="320" w:lineRule="exact"/>
              <w:jc w:val="center"/>
              <w:rPr>
                <w:rFonts w:eastAsia="仿宋_GB2312"/>
                <w:sz w:val="21"/>
                <w:szCs w:val="21"/>
              </w:rPr>
            </w:pPr>
            <w:r>
              <w:rPr>
                <w:rFonts w:hint="eastAsia" w:eastAsia="仿宋_GB2312"/>
                <w:sz w:val="21"/>
                <w:szCs w:val="21"/>
              </w:rPr>
              <w:t>12</w:t>
            </w:r>
          </w:p>
        </w:tc>
        <w:tc>
          <w:tcPr>
            <w:tcW w:w="358" w:type="pct"/>
            <w:vMerge w:val="continue"/>
            <w:vAlign w:val="center"/>
          </w:tcPr>
          <w:p w14:paraId="213B93F0">
            <w:pPr>
              <w:overflowPunct w:val="0"/>
              <w:topLinePunct/>
              <w:spacing w:after="0" w:line="320" w:lineRule="exact"/>
              <w:jc w:val="center"/>
              <w:rPr>
                <w:rFonts w:eastAsia="仿宋_GB2312"/>
                <w:sz w:val="21"/>
                <w:szCs w:val="21"/>
              </w:rPr>
            </w:pPr>
          </w:p>
        </w:tc>
        <w:tc>
          <w:tcPr>
            <w:tcW w:w="678" w:type="pct"/>
            <w:vAlign w:val="center"/>
          </w:tcPr>
          <w:p w14:paraId="1328F8E3">
            <w:pPr>
              <w:overflowPunct w:val="0"/>
              <w:topLinePunct/>
              <w:spacing w:after="0" w:line="320" w:lineRule="exact"/>
              <w:jc w:val="center"/>
              <w:rPr>
                <w:rFonts w:eastAsia="仿宋_GB2312"/>
                <w:sz w:val="21"/>
                <w:szCs w:val="21"/>
              </w:rPr>
            </w:pPr>
            <w:r>
              <w:rPr>
                <w:rFonts w:hint="eastAsia" w:eastAsia="仿宋_GB2312"/>
                <w:sz w:val="21"/>
                <w:szCs w:val="21"/>
              </w:rPr>
              <w:t>城市声环境功能区夜间达标率（%）</w:t>
            </w:r>
          </w:p>
        </w:tc>
        <w:tc>
          <w:tcPr>
            <w:tcW w:w="790" w:type="pct"/>
            <w:vAlign w:val="center"/>
          </w:tcPr>
          <w:p w14:paraId="41279F01">
            <w:pPr>
              <w:overflowPunct w:val="0"/>
              <w:topLinePunct/>
              <w:spacing w:after="0" w:line="320" w:lineRule="exact"/>
              <w:jc w:val="center"/>
              <w:rPr>
                <w:rFonts w:eastAsia="仿宋_GB2312"/>
                <w:sz w:val="21"/>
                <w:szCs w:val="21"/>
              </w:rPr>
            </w:pPr>
            <w:r>
              <w:rPr>
                <w:rFonts w:hint="eastAsia" w:eastAsia="仿宋_GB2312"/>
                <w:sz w:val="21"/>
                <w:szCs w:val="21"/>
              </w:rPr>
              <w:t>≥85</w:t>
            </w:r>
          </w:p>
        </w:tc>
        <w:tc>
          <w:tcPr>
            <w:tcW w:w="1524" w:type="pct"/>
            <w:vAlign w:val="center"/>
          </w:tcPr>
          <w:p w14:paraId="38C991AB">
            <w:pPr>
              <w:overflowPunct w:val="0"/>
              <w:topLinePunct/>
              <w:spacing w:after="0" w:line="320" w:lineRule="exact"/>
              <w:jc w:val="center"/>
              <w:rPr>
                <w:rFonts w:eastAsia="仿宋_GB2312"/>
                <w:sz w:val="21"/>
                <w:szCs w:val="21"/>
              </w:rPr>
            </w:pPr>
            <w:r>
              <w:rPr>
                <w:rFonts w:hint="eastAsia" w:eastAsia="仿宋_GB2312"/>
                <w:sz w:val="21"/>
                <w:szCs w:val="21"/>
              </w:rPr>
              <w:t>指城市声环境功能区夜间时段评价结果，达标的监测站（点）数量占符合数据有效性规定的有效监测站（点）总数的百分比。</w:t>
            </w:r>
          </w:p>
        </w:tc>
        <w:tc>
          <w:tcPr>
            <w:tcW w:w="683" w:type="pct"/>
            <w:vAlign w:val="center"/>
          </w:tcPr>
          <w:p w14:paraId="33937630">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71D63CFE">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7F38E3F0">
            <w:pPr>
              <w:overflowPunct w:val="0"/>
              <w:topLinePunct/>
              <w:spacing w:after="0" w:line="320" w:lineRule="exact"/>
              <w:jc w:val="center"/>
              <w:rPr>
                <w:rFonts w:eastAsia="仿宋_GB2312"/>
                <w:sz w:val="21"/>
                <w:szCs w:val="21"/>
              </w:rPr>
            </w:pPr>
          </w:p>
        </w:tc>
      </w:tr>
      <w:tr w14:paraId="7B5A6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7E0EFA76">
            <w:pPr>
              <w:overflowPunct w:val="0"/>
              <w:topLinePunct/>
              <w:spacing w:after="0" w:line="320" w:lineRule="exact"/>
              <w:jc w:val="center"/>
              <w:rPr>
                <w:rFonts w:eastAsia="仿宋_GB2312"/>
                <w:sz w:val="21"/>
                <w:szCs w:val="21"/>
              </w:rPr>
            </w:pPr>
            <w:r>
              <w:rPr>
                <w:rFonts w:hint="eastAsia" w:eastAsia="仿宋_GB2312"/>
                <w:sz w:val="21"/>
                <w:szCs w:val="21"/>
              </w:rPr>
              <w:t>13</w:t>
            </w:r>
          </w:p>
        </w:tc>
        <w:tc>
          <w:tcPr>
            <w:tcW w:w="358" w:type="pct"/>
            <w:vMerge w:val="continue"/>
            <w:vAlign w:val="center"/>
          </w:tcPr>
          <w:p w14:paraId="1CA4A3F1">
            <w:pPr>
              <w:overflowPunct w:val="0"/>
              <w:topLinePunct/>
              <w:spacing w:after="0" w:line="320" w:lineRule="exact"/>
              <w:jc w:val="center"/>
              <w:rPr>
                <w:rFonts w:eastAsia="仿宋_GB2312"/>
                <w:sz w:val="21"/>
                <w:szCs w:val="21"/>
              </w:rPr>
            </w:pPr>
          </w:p>
        </w:tc>
        <w:tc>
          <w:tcPr>
            <w:tcW w:w="678" w:type="pct"/>
            <w:vAlign w:val="center"/>
          </w:tcPr>
          <w:p w14:paraId="07194719">
            <w:pPr>
              <w:overflowPunct w:val="0"/>
              <w:topLinePunct/>
              <w:spacing w:after="0" w:line="320" w:lineRule="exact"/>
              <w:jc w:val="center"/>
              <w:rPr>
                <w:rFonts w:eastAsia="仿宋_GB2312"/>
                <w:sz w:val="21"/>
                <w:szCs w:val="21"/>
              </w:rPr>
            </w:pPr>
            <w:r>
              <w:rPr>
                <w:rFonts w:hint="eastAsia" w:eastAsia="仿宋_GB2312"/>
                <w:sz w:val="21"/>
                <w:szCs w:val="21"/>
              </w:rPr>
              <w:t>城市建筑垃圾资源化利用率（%）</w:t>
            </w:r>
          </w:p>
        </w:tc>
        <w:tc>
          <w:tcPr>
            <w:tcW w:w="790" w:type="pct"/>
            <w:vAlign w:val="center"/>
          </w:tcPr>
          <w:p w14:paraId="400E8859">
            <w:pPr>
              <w:overflowPunct w:val="0"/>
              <w:topLinePunct/>
              <w:spacing w:after="0" w:line="320" w:lineRule="exact"/>
              <w:jc w:val="center"/>
              <w:rPr>
                <w:rFonts w:eastAsia="仿宋_GB2312"/>
                <w:sz w:val="21"/>
                <w:szCs w:val="21"/>
              </w:rPr>
            </w:pPr>
            <w:r>
              <w:rPr>
                <w:rFonts w:hint="eastAsia" w:eastAsia="仿宋_GB2312"/>
                <w:sz w:val="21"/>
                <w:szCs w:val="21"/>
              </w:rPr>
              <w:t>完成上级下达目标要求且持续提升</w:t>
            </w:r>
          </w:p>
        </w:tc>
        <w:tc>
          <w:tcPr>
            <w:tcW w:w="1524" w:type="pct"/>
            <w:vAlign w:val="center"/>
          </w:tcPr>
          <w:p w14:paraId="4C208FBB">
            <w:pPr>
              <w:overflowPunct w:val="0"/>
              <w:topLinePunct/>
              <w:spacing w:after="0" w:line="320" w:lineRule="exact"/>
              <w:jc w:val="center"/>
              <w:rPr>
                <w:rFonts w:eastAsia="仿宋_GB2312"/>
                <w:sz w:val="21"/>
                <w:szCs w:val="21"/>
              </w:rPr>
            </w:pPr>
            <w:r>
              <w:rPr>
                <w:rFonts w:hint="eastAsia" w:eastAsia="仿宋_GB2312"/>
                <w:sz w:val="21"/>
                <w:szCs w:val="21"/>
              </w:rPr>
              <w:t>指城市建成区建筑垃圾资源化处理总量占产生量的比率。</w:t>
            </w:r>
          </w:p>
        </w:tc>
        <w:tc>
          <w:tcPr>
            <w:tcW w:w="683" w:type="pct"/>
            <w:vAlign w:val="center"/>
          </w:tcPr>
          <w:p w14:paraId="5BF988E0">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tc>
        <w:tc>
          <w:tcPr>
            <w:tcW w:w="368" w:type="pct"/>
            <w:vAlign w:val="center"/>
          </w:tcPr>
          <w:p w14:paraId="3DF6E73E">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3BB7399C">
            <w:pPr>
              <w:overflowPunct w:val="0"/>
              <w:topLinePunct/>
              <w:spacing w:after="0" w:line="320" w:lineRule="exact"/>
              <w:jc w:val="center"/>
              <w:rPr>
                <w:rFonts w:eastAsia="仿宋_GB2312"/>
                <w:sz w:val="21"/>
                <w:szCs w:val="21"/>
              </w:rPr>
            </w:pPr>
          </w:p>
        </w:tc>
      </w:tr>
      <w:tr w14:paraId="4C821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770B9EB7">
            <w:pPr>
              <w:overflowPunct w:val="0"/>
              <w:topLinePunct/>
              <w:spacing w:after="0" w:line="320" w:lineRule="exact"/>
              <w:jc w:val="center"/>
              <w:rPr>
                <w:rFonts w:eastAsia="仿宋_GB2312"/>
                <w:sz w:val="21"/>
                <w:szCs w:val="21"/>
              </w:rPr>
            </w:pPr>
            <w:r>
              <w:rPr>
                <w:rFonts w:hint="eastAsia" w:eastAsia="仿宋_GB2312"/>
                <w:sz w:val="21"/>
                <w:szCs w:val="21"/>
              </w:rPr>
              <w:t>14</w:t>
            </w:r>
          </w:p>
        </w:tc>
        <w:tc>
          <w:tcPr>
            <w:tcW w:w="358" w:type="pct"/>
            <w:vMerge w:val="continue"/>
            <w:vAlign w:val="center"/>
          </w:tcPr>
          <w:p w14:paraId="429D05DF">
            <w:pPr>
              <w:overflowPunct w:val="0"/>
              <w:topLinePunct/>
              <w:spacing w:after="0" w:line="320" w:lineRule="exact"/>
              <w:jc w:val="center"/>
              <w:rPr>
                <w:rFonts w:eastAsia="仿宋_GB2312"/>
                <w:sz w:val="21"/>
                <w:szCs w:val="21"/>
              </w:rPr>
            </w:pPr>
          </w:p>
        </w:tc>
        <w:tc>
          <w:tcPr>
            <w:tcW w:w="678" w:type="pct"/>
            <w:vAlign w:val="center"/>
          </w:tcPr>
          <w:p w14:paraId="6636AF15">
            <w:pPr>
              <w:overflowPunct w:val="0"/>
              <w:topLinePunct/>
              <w:spacing w:after="0" w:line="320" w:lineRule="exact"/>
              <w:jc w:val="center"/>
              <w:rPr>
                <w:rFonts w:eastAsia="仿宋_GB2312"/>
                <w:sz w:val="21"/>
                <w:szCs w:val="21"/>
              </w:rPr>
            </w:pPr>
            <w:r>
              <w:rPr>
                <w:rFonts w:hint="eastAsia" w:eastAsia="仿宋_GB2312"/>
                <w:sz w:val="21"/>
                <w:szCs w:val="21"/>
              </w:rPr>
              <w:t>“无废城市</w:t>
            </w:r>
            <w:r>
              <w:rPr>
                <w:rFonts w:hint="eastAsia" w:ascii="仿宋_GB2312" w:eastAsia="仿宋_GB2312"/>
                <w:sz w:val="21"/>
                <w:szCs w:val="21"/>
              </w:rPr>
              <w:t>”</w:t>
            </w:r>
            <w:r>
              <w:rPr>
                <w:rFonts w:hint="eastAsia" w:eastAsia="仿宋_GB2312"/>
                <w:sz w:val="21"/>
                <w:szCs w:val="21"/>
              </w:rPr>
              <w:t>建设进展情况</w:t>
            </w:r>
          </w:p>
        </w:tc>
        <w:tc>
          <w:tcPr>
            <w:tcW w:w="790" w:type="pct"/>
            <w:vAlign w:val="center"/>
          </w:tcPr>
          <w:p w14:paraId="018B71B1">
            <w:pPr>
              <w:overflowPunct w:val="0"/>
              <w:topLinePunct/>
              <w:spacing w:after="0" w:line="320" w:lineRule="exact"/>
              <w:jc w:val="center"/>
              <w:rPr>
                <w:rFonts w:eastAsia="仿宋_GB2312"/>
                <w:sz w:val="21"/>
                <w:szCs w:val="21"/>
              </w:rPr>
            </w:pPr>
            <w:r>
              <w:rPr>
                <w:rFonts w:hint="eastAsia" w:eastAsia="仿宋_GB2312"/>
                <w:sz w:val="21"/>
                <w:szCs w:val="21"/>
              </w:rPr>
              <w:t>完成年度进展评价</w:t>
            </w:r>
          </w:p>
        </w:tc>
        <w:tc>
          <w:tcPr>
            <w:tcW w:w="1524" w:type="pct"/>
            <w:vAlign w:val="center"/>
          </w:tcPr>
          <w:p w14:paraId="29FC3173">
            <w:pPr>
              <w:overflowPunct w:val="0"/>
              <w:topLinePunct/>
              <w:spacing w:after="0" w:line="320" w:lineRule="exact"/>
              <w:jc w:val="center"/>
              <w:rPr>
                <w:rFonts w:eastAsia="仿宋_GB2312"/>
                <w:sz w:val="21"/>
                <w:szCs w:val="21"/>
              </w:rPr>
            </w:pPr>
            <w:r>
              <w:rPr>
                <w:rFonts w:hint="eastAsia" w:eastAsia="仿宋_GB2312"/>
                <w:sz w:val="21"/>
                <w:szCs w:val="21"/>
              </w:rPr>
              <w:t>依据《“无废城市”建设进展评价办法（试行）》有关要求，对“无废城市”开展建设进展评价。</w:t>
            </w:r>
          </w:p>
        </w:tc>
        <w:tc>
          <w:tcPr>
            <w:tcW w:w="683" w:type="pct"/>
            <w:vAlign w:val="center"/>
          </w:tcPr>
          <w:p w14:paraId="083BEEDD">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76955FE1">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1B69DA10">
            <w:pPr>
              <w:overflowPunct w:val="0"/>
              <w:topLinePunct/>
              <w:spacing w:after="0" w:line="320" w:lineRule="exact"/>
              <w:jc w:val="center"/>
              <w:rPr>
                <w:rFonts w:eastAsia="仿宋_GB2312"/>
                <w:sz w:val="21"/>
                <w:szCs w:val="21"/>
              </w:rPr>
            </w:pPr>
          </w:p>
        </w:tc>
      </w:tr>
      <w:tr w14:paraId="54135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112A920">
            <w:pPr>
              <w:overflowPunct w:val="0"/>
              <w:topLinePunct/>
              <w:spacing w:after="0" w:line="320" w:lineRule="exact"/>
              <w:jc w:val="center"/>
              <w:rPr>
                <w:rFonts w:eastAsia="仿宋_GB2312"/>
                <w:sz w:val="21"/>
                <w:szCs w:val="21"/>
              </w:rPr>
            </w:pPr>
            <w:r>
              <w:rPr>
                <w:rFonts w:hint="eastAsia" w:eastAsia="仿宋_GB2312"/>
                <w:sz w:val="21"/>
                <w:szCs w:val="21"/>
              </w:rPr>
              <w:t>15</w:t>
            </w:r>
          </w:p>
        </w:tc>
        <w:tc>
          <w:tcPr>
            <w:tcW w:w="358" w:type="pct"/>
            <w:vMerge w:val="restart"/>
            <w:vAlign w:val="center"/>
          </w:tcPr>
          <w:p w14:paraId="39B8E639">
            <w:pPr>
              <w:overflowPunct w:val="0"/>
              <w:topLinePunct/>
              <w:spacing w:after="0" w:line="320" w:lineRule="exact"/>
              <w:jc w:val="center"/>
              <w:rPr>
                <w:rFonts w:eastAsia="仿宋_GB2312"/>
                <w:sz w:val="21"/>
                <w:szCs w:val="21"/>
              </w:rPr>
            </w:pPr>
            <w:r>
              <w:rPr>
                <w:rFonts w:hint="eastAsia" w:eastAsia="仿宋_GB2312"/>
                <w:sz w:val="21"/>
                <w:szCs w:val="21"/>
              </w:rPr>
              <w:t>生态宜居</w:t>
            </w:r>
          </w:p>
        </w:tc>
        <w:tc>
          <w:tcPr>
            <w:tcW w:w="678" w:type="pct"/>
            <w:vAlign w:val="center"/>
          </w:tcPr>
          <w:p w14:paraId="01F455F3">
            <w:pPr>
              <w:overflowPunct w:val="0"/>
              <w:topLinePunct/>
              <w:spacing w:after="0" w:line="320" w:lineRule="exact"/>
              <w:jc w:val="center"/>
              <w:rPr>
                <w:rFonts w:eastAsia="仿宋_GB2312"/>
                <w:sz w:val="21"/>
                <w:szCs w:val="21"/>
              </w:rPr>
            </w:pPr>
            <w:r>
              <w:rPr>
                <w:rFonts w:hint="eastAsia" w:eastAsia="仿宋_GB2312"/>
                <w:sz w:val="21"/>
                <w:szCs w:val="21"/>
              </w:rPr>
              <w:t>生态质量指数（EQI）</w:t>
            </w:r>
          </w:p>
        </w:tc>
        <w:tc>
          <w:tcPr>
            <w:tcW w:w="790" w:type="pct"/>
            <w:vAlign w:val="center"/>
          </w:tcPr>
          <w:p w14:paraId="2F8B9F4A">
            <w:pPr>
              <w:overflowPunct w:val="0"/>
              <w:topLinePunct/>
              <w:spacing w:after="0" w:line="320" w:lineRule="exact"/>
              <w:jc w:val="center"/>
              <w:rPr>
                <w:rFonts w:eastAsia="仿宋_GB2312"/>
                <w:sz w:val="21"/>
                <w:szCs w:val="21"/>
              </w:rPr>
            </w:pPr>
            <w:r>
              <w:rPr>
                <w:rFonts w:hint="eastAsia" w:eastAsia="仿宋_GB2312" w:cs="Cambria Math"/>
                <w:sz w:val="21"/>
                <w:szCs w:val="21"/>
              </w:rPr>
              <w:t>△</w:t>
            </w:r>
            <w:r>
              <w:rPr>
                <w:rFonts w:hint="eastAsia" w:eastAsia="仿宋_GB2312"/>
                <w:sz w:val="21"/>
                <w:szCs w:val="21"/>
              </w:rPr>
              <w:t>EQI＞-1</w:t>
            </w:r>
          </w:p>
        </w:tc>
        <w:tc>
          <w:tcPr>
            <w:tcW w:w="1524" w:type="pct"/>
            <w:vAlign w:val="center"/>
          </w:tcPr>
          <w:p w14:paraId="758438C3">
            <w:pPr>
              <w:overflowPunct w:val="0"/>
              <w:topLinePunct/>
              <w:spacing w:after="0" w:line="320" w:lineRule="exact"/>
              <w:jc w:val="center"/>
              <w:rPr>
                <w:rFonts w:eastAsia="仿宋_GB2312"/>
                <w:sz w:val="21"/>
                <w:szCs w:val="21"/>
              </w:rPr>
            </w:pPr>
            <w:r>
              <w:rPr>
                <w:rFonts w:hint="eastAsia" w:eastAsia="仿宋_GB2312"/>
                <w:sz w:val="21"/>
                <w:szCs w:val="21"/>
              </w:rPr>
              <w:t>指地区生态质量状况的生态格局、生态功能、生物多样性、生态胁迫的综合反映。</w:t>
            </w:r>
            <w:r>
              <w:rPr>
                <w:rFonts w:hint="eastAsia" w:eastAsia="仿宋_GB2312" w:cs="Cambria Math"/>
                <w:sz w:val="21"/>
                <w:szCs w:val="21"/>
              </w:rPr>
              <w:t>△</w:t>
            </w:r>
            <w:r>
              <w:rPr>
                <w:rFonts w:hint="eastAsia" w:eastAsia="仿宋_GB2312"/>
                <w:sz w:val="21"/>
                <w:szCs w:val="21"/>
              </w:rPr>
              <w:t>EQI表示评估年生态质量指数与上一年生态质量指数的差值。</w:t>
            </w:r>
          </w:p>
        </w:tc>
        <w:tc>
          <w:tcPr>
            <w:tcW w:w="683" w:type="pct"/>
            <w:vAlign w:val="center"/>
          </w:tcPr>
          <w:p w14:paraId="3EF631D3">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27D9BF3F">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73F4F020">
            <w:pPr>
              <w:overflowPunct w:val="0"/>
              <w:topLinePunct/>
              <w:spacing w:after="0" w:line="320" w:lineRule="exact"/>
              <w:jc w:val="center"/>
              <w:rPr>
                <w:rFonts w:eastAsia="仿宋_GB2312"/>
                <w:sz w:val="21"/>
                <w:szCs w:val="21"/>
              </w:rPr>
            </w:pPr>
            <w:r>
              <w:rPr>
                <w:rFonts w:hint="eastAsia" w:eastAsia="仿宋_GB2312"/>
                <w:sz w:val="21"/>
                <w:szCs w:val="21"/>
              </w:rPr>
              <w:t>特色指标</w:t>
            </w:r>
          </w:p>
        </w:tc>
      </w:tr>
      <w:tr w14:paraId="78DE2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5A85891">
            <w:pPr>
              <w:overflowPunct w:val="0"/>
              <w:topLinePunct/>
              <w:spacing w:after="0" w:line="320" w:lineRule="exact"/>
              <w:jc w:val="center"/>
              <w:rPr>
                <w:rFonts w:eastAsia="仿宋_GB2312"/>
                <w:sz w:val="21"/>
                <w:szCs w:val="21"/>
              </w:rPr>
            </w:pPr>
            <w:r>
              <w:rPr>
                <w:rFonts w:hint="eastAsia" w:eastAsia="仿宋_GB2312"/>
                <w:sz w:val="21"/>
                <w:szCs w:val="21"/>
              </w:rPr>
              <w:t>16</w:t>
            </w:r>
          </w:p>
        </w:tc>
        <w:tc>
          <w:tcPr>
            <w:tcW w:w="358" w:type="pct"/>
            <w:vMerge w:val="continue"/>
            <w:vAlign w:val="center"/>
          </w:tcPr>
          <w:p w14:paraId="5C883511">
            <w:pPr>
              <w:overflowPunct w:val="0"/>
              <w:topLinePunct/>
              <w:spacing w:after="0" w:line="320" w:lineRule="exact"/>
              <w:jc w:val="center"/>
              <w:rPr>
                <w:rFonts w:eastAsia="仿宋_GB2312"/>
                <w:sz w:val="21"/>
                <w:szCs w:val="21"/>
              </w:rPr>
            </w:pPr>
          </w:p>
        </w:tc>
        <w:tc>
          <w:tcPr>
            <w:tcW w:w="678" w:type="pct"/>
            <w:vAlign w:val="center"/>
          </w:tcPr>
          <w:p w14:paraId="3C849552">
            <w:pPr>
              <w:overflowPunct w:val="0"/>
              <w:topLinePunct/>
              <w:spacing w:after="0" w:line="320" w:lineRule="exact"/>
              <w:jc w:val="center"/>
              <w:rPr>
                <w:rFonts w:eastAsia="仿宋_GB2312"/>
                <w:sz w:val="21"/>
                <w:szCs w:val="21"/>
              </w:rPr>
            </w:pPr>
            <w:r>
              <w:rPr>
                <w:rFonts w:hint="eastAsia" w:eastAsia="仿宋_GB2312"/>
                <w:sz w:val="21"/>
                <w:szCs w:val="21"/>
              </w:rPr>
              <w:t>人均公园绿地面积（m</w:t>
            </w:r>
            <w:r>
              <w:rPr>
                <w:rFonts w:hint="eastAsia" w:eastAsia="仿宋_GB2312"/>
                <w:sz w:val="21"/>
                <w:szCs w:val="21"/>
                <w:vertAlign w:val="superscript"/>
              </w:rPr>
              <w:t>2</w:t>
            </w:r>
            <w:r>
              <w:rPr>
                <w:rFonts w:hint="eastAsia" w:eastAsia="仿宋_GB2312"/>
                <w:sz w:val="21"/>
                <w:szCs w:val="21"/>
              </w:rPr>
              <w:t>）</w:t>
            </w:r>
          </w:p>
        </w:tc>
        <w:tc>
          <w:tcPr>
            <w:tcW w:w="790" w:type="pct"/>
            <w:vAlign w:val="center"/>
          </w:tcPr>
          <w:p w14:paraId="26A466ED">
            <w:pPr>
              <w:overflowPunct w:val="0"/>
              <w:topLinePunct/>
              <w:spacing w:after="0" w:line="320" w:lineRule="exact"/>
              <w:jc w:val="center"/>
              <w:rPr>
                <w:rFonts w:eastAsia="仿宋_GB2312"/>
                <w:sz w:val="21"/>
                <w:szCs w:val="21"/>
              </w:rPr>
            </w:pPr>
            <w:r>
              <w:rPr>
                <w:rFonts w:hint="eastAsia" w:eastAsia="仿宋_GB2312"/>
                <w:sz w:val="21"/>
                <w:szCs w:val="21"/>
              </w:rPr>
              <w:t>≥15</w:t>
            </w:r>
          </w:p>
        </w:tc>
        <w:tc>
          <w:tcPr>
            <w:tcW w:w="1524" w:type="pct"/>
            <w:vAlign w:val="center"/>
          </w:tcPr>
          <w:p w14:paraId="5B324A59">
            <w:pPr>
              <w:overflowPunct w:val="0"/>
              <w:topLinePunct/>
              <w:spacing w:after="0" w:line="320" w:lineRule="exact"/>
              <w:jc w:val="center"/>
              <w:rPr>
                <w:rFonts w:eastAsia="仿宋_GB2312"/>
                <w:sz w:val="21"/>
                <w:szCs w:val="21"/>
              </w:rPr>
            </w:pPr>
            <w:r>
              <w:rPr>
                <w:rFonts w:hint="eastAsia" w:eastAsia="仿宋_GB2312"/>
                <w:sz w:val="21"/>
                <w:szCs w:val="21"/>
              </w:rPr>
              <w:t>指地区建成区内城区人口人均拥有的公园绿地面积。</w:t>
            </w:r>
          </w:p>
        </w:tc>
        <w:tc>
          <w:tcPr>
            <w:tcW w:w="683" w:type="pct"/>
            <w:vAlign w:val="center"/>
          </w:tcPr>
          <w:p w14:paraId="314E6619">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tc>
        <w:tc>
          <w:tcPr>
            <w:tcW w:w="368" w:type="pct"/>
            <w:vAlign w:val="center"/>
          </w:tcPr>
          <w:p w14:paraId="134FF889">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3F84A532">
            <w:pPr>
              <w:overflowPunct w:val="0"/>
              <w:topLinePunct/>
              <w:spacing w:after="0" w:line="320" w:lineRule="exact"/>
              <w:jc w:val="center"/>
              <w:rPr>
                <w:rFonts w:eastAsia="仿宋_GB2312"/>
                <w:sz w:val="21"/>
                <w:szCs w:val="21"/>
              </w:rPr>
            </w:pPr>
          </w:p>
        </w:tc>
      </w:tr>
      <w:tr w14:paraId="74067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78808E53">
            <w:pPr>
              <w:overflowPunct w:val="0"/>
              <w:topLinePunct/>
              <w:spacing w:after="0" w:line="320" w:lineRule="exact"/>
              <w:jc w:val="center"/>
              <w:rPr>
                <w:rFonts w:eastAsia="仿宋_GB2312"/>
                <w:sz w:val="21"/>
                <w:szCs w:val="21"/>
              </w:rPr>
            </w:pPr>
            <w:r>
              <w:rPr>
                <w:rFonts w:hint="eastAsia" w:eastAsia="仿宋_GB2312"/>
                <w:sz w:val="21"/>
                <w:szCs w:val="21"/>
              </w:rPr>
              <w:t>17</w:t>
            </w:r>
          </w:p>
        </w:tc>
        <w:tc>
          <w:tcPr>
            <w:tcW w:w="358" w:type="pct"/>
            <w:vMerge w:val="continue"/>
            <w:vAlign w:val="center"/>
          </w:tcPr>
          <w:p w14:paraId="3EBBA62B">
            <w:pPr>
              <w:overflowPunct w:val="0"/>
              <w:topLinePunct/>
              <w:spacing w:after="0" w:line="320" w:lineRule="exact"/>
              <w:jc w:val="center"/>
              <w:rPr>
                <w:rFonts w:eastAsia="仿宋_GB2312"/>
                <w:sz w:val="21"/>
                <w:szCs w:val="21"/>
              </w:rPr>
            </w:pPr>
          </w:p>
        </w:tc>
        <w:tc>
          <w:tcPr>
            <w:tcW w:w="678" w:type="pct"/>
            <w:vAlign w:val="center"/>
          </w:tcPr>
          <w:p w14:paraId="1EB7265A">
            <w:pPr>
              <w:overflowPunct w:val="0"/>
              <w:topLinePunct/>
              <w:spacing w:after="0" w:line="320" w:lineRule="exact"/>
              <w:jc w:val="center"/>
              <w:rPr>
                <w:rFonts w:eastAsia="仿宋_GB2312"/>
                <w:sz w:val="21"/>
                <w:szCs w:val="21"/>
              </w:rPr>
            </w:pPr>
            <w:r>
              <w:rPr>
                <w:rFonts w:hint="eastAsia" w:eastAsia="仿宋_GB2312"/>
                <w:sz w:val="21"/>
                <w:szCs w:val="21"/>
              </w:rPr>
              <w:t>蓝绿空间比例（%）</w:t>
            </w:r>
          </w:p>
        </w:tc>
        <w:tc>
          <w:tcPr>
            <w:tcW w:w="790" w:type="pct"/>
            <w:vAlign w:val="center"/>
          </w:tcPr>
          <w:p w14:paraId="7F0C230E">
            <w:pPr>
              <w:overflowPunct w:val="0"/>
              <w:topLinePunct/>
              <w:spacing w:after="0" w:line="320" w:lineRule="exact"/>
              <w:jc w:val="center"/>
              <w:rPr>
                <w:rFonts w:eastAsia="仿宋_GB2312"/>
                <w:sz w:val="21"/>
                <w:szCs w:val="21"/>
              </w:rPr>
            </w:pPr>
            <w:r>
              <w:rPr>
                <w:rFonts w:hint="eastAsia" w:eastAsia="仿宋_GB2312"/>
                <w:sz w:val="21"/>
                <w:szCs w:val="21"/>
              </w:rPr>
              <w:t>≥45</w:t>
            </w:r>
          </w:p>
        </w:tc>
        <w:tc>
          <w:tcPr>
            <w:tcW w:w="1524" w:type="pct"/>
            <w:vAlign w:val="center"/>
          </w:tcPr>
          <w:p w14:paraId="5FAABB18">
            <w:pPr>
              <w:overflowPunct w:val="0"/>
              <w:topLinePunct/>
              <w:spacing w:after="0" w:line="320" w:lineRule="exact"/>
              <w:jc w:val="center"/>
              <w:rPr>
                <w:rFonts w:eastAsia="仿宋_GB2312"/>
                <w:sz w:val="21"/>
                <w:szCs w:val="21"/>
              </w:rPr>
            </w:pPr>
            <w:r>
              <w:rPr>
                <w:rFonts w:hint="eastAsia" w:eastAsia="仿宋_GB2312"/>
                <w:sz w:val="21"/>
                <w:szCs w:val="21"/>
              </w:rPr>
              <w:t>指地区各类绿地和水域总面积占城区总面积的百分比。</w:t>
            </w:r>
          </w:p>
        </w:tc>
        <w:tc>
          <w:tcPr>
            <w:tcW w:w="683" w:type="pct"/>
            <w:vAlign w:val="center"/>
          </w:tcPr>
          <w:p w14:paraId="78ABAEB4">
            <w:pPr>
              <w:overflowPunct w:val="0"/>
              <w:topLinePunct/>
              <w:spacing w:after="0" w:line="320" w:lineRule="exact"/>
              <w:jc w:val="center"/>
              <w:rPr>
                <w:rFonts w:eastAsia="仿宋_GB2312"/>
                <w:sz w:val="21"/>
                <w:szCs w:val="21"/>
              </w:rPr>
            </w:pPr>
            <w:r>
              <w:rPr>
                <w:rFonts w:hint="eastAsia" w:eastAsia="仿宋_GB2312"/>
                <w:sz w:val="21"/>
                <w:szCs w:val="21"/>
              </w:rPr>
              <w:t>自然资源厅</w:t>
            </w:r>
          </w:p>
        </w:tc>
        <w:tc>
          <w:tcPr>
            <w:tcW w:w="368" w:type="pct"/>
            <w:vAlign w:val="center"/>
          </w:tcPr>
          <w:p w14:paraId="68D6A9C1">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1F99DAE8">
            <w:pPr>
              <w:overflowPunct w:val="0"/>
              <w:topLinePunct/>
              <w:spacing w:after="0" w:line="320" w:lineRule="exact"/>
              <w:jc w:val="center"/>
              <w:rPr>
                <w:rFonts w:eastAsia="仿宋_GB2312"/>
                <w:sz w:val="21"/>
                <w:szCs w:val="21"/>
              </w:rPr>
            </w:pPr>
          </w:p>
        </w:tc>
      </w:tr>
      <w:tr w14:paraId="43F2C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118EB88A">
            <w:pPr>
              <w:overflowPunct w:val="0"/>
              <w:topLinePunct/>
              <w:spacing w:after="0" w:line="320" w:lineRule="exact"/>
              <w:jc w:val="center"/>
              <w:rPr>
                <w:rFonts w:eastAsia="仿宋_GB2312"/>
                <w:sz w:val="21"/>
                <w:szCs w:val="21"/>
              </w:rPr>
            </w:pPr>
            <w:r>
              <w:rPr>
                <w:rFonts w:hint="eastAsia" w:eastAsia="仿宋_GB2312"/>
                <w:sz w:val="21"/>
                <w:szCs w:val="21"/>
              </w:rPr>
              <w:t>18</w:t>
            </w:r>
          </w:p>
        </w:tc>
        <w:tc>
          <w:tcPr>
            <w:tcW w:w="358" w:type="pct"/>
            <w:vMerge w:val="continue"/>
            <w:vAlign w:val="center"/>
          </w:tcPr>
          <w:p w14:paraId="4D6668F3">
            <w:pPr>
              <w:overflowPunct w:val="0"/>
              <w:topLinePunct/>
              <w:spacing w:after="0" w:line="320" w:lineRule="exact"/>
              <w:jc w:val="center"/>
              <w:rPr>
                <w:rFonts w:eastAsia="仿宋_GB2312"/>
                <w:sz w:val="21"/>
                <w:szCs w:val="21"/>
              </w:rPr>
            </w:pPr>
          </w:p>
        </w:tc>
        <w:tc>
          <w:tcPr>
            <w:tcW w:w="678" w:type="pct"/>
            <w:vAlign w:val="center"/>
          </w:tcPr>
          <w:p w14:paraId="08D14957">
            <w:pPr>
              <w:overflowPunct w:val="0"/>
              <w:topLinePunct/>
              <w:spacing w:after="0" w:line="320" w:lineRule="exact"/>
              <w:jc w:val="center"/>
              <w:rPr>
                <w:rFonts w:eastAsia="仿宋_GB2312"/>
                <w:sz w:val="21"/>
                <w:szCs w:val="21"/>
              </w:rPr>
            </w:pPr>
            <w:r>
              <w:rPr>
                <w:rFonts w:hint="eastAsia" w:eastAsia="仿宋_GB2312"/>
                <w:sz w:val="21"/>
                <w:szCs w:val="21"/>
              </w:rPr>
              <w:t>城区15分钟社区生活圈覆盖率（%）</w:t>
            </w:r>
          </w:p>
        </w:tc>
        <w:tc>
          <w:tcPr>
            <w:tcW w:w="790" w:type="pct"/>
            <w:vAlign w:val="center"/>
          </w:tcPr>
          <w:p w14:paraId="295CBA3C">
            <w:pPr>
              <w:overflowPunct w:val="0"/>
              <w:topLinePunct/>
              <w:spacing w:after="0" w:line="320" w:lineRule="exact"/>
              <w:jc w:val="center"/>
              <w:rPr>
                <w:rFonts w:eastAsia="仿宋_GB2312"/>
                <w:sz w:val="21"/>
                <w:szCs w:val="21"/>
              </w:rPr>
            </w:pPr>
            <w:r>
              <w:rPr>
                <w:rFonts w:hint="eastAsia" w:eastAsia="仿宋_GB2312"/>
                <w:sz w:val="21"/>
                <w:szCs w:val="21"/>
              </w:rPr>
              <w:t>持续提升或保持稳定</w:t>
            </w:r>
          </w:p>
        </w:tc>
        <w:tc>
          <w:tcPr>
            <w:tcW w:w="1524" w:type="pct"/>
            <w:vAlign w:val="center"/>
          </w:tcPr>
          <w:p w14:paraId="01CB7548">
            <w:pPr>
              <w:overflowPunct w:val="0"/>
              <w:topLinePunct/>
              <w:spacing w:after="0" w:line="320" w:lineRule="exact"/>
              <w:jc w:val="center"/>
              <w:rPr>
                <w:rFonts w:eastAsia="仿宋_GB2312"/>
                <w:sz w:val="21"/>
                <w:szCs w:val="21"/>
              </w:rPr>
            </w:pPr>
            <w:r>
              <w:rPr>
                <w:rFonts w:hint="eastAsia" w:eastAsia="仿宋_GB2312"/>
                <w:sz w:val="21"/>
                <w:szCs w:val="21"/>
              </w:rPr>
              <w:t>指城区15分钟社区生活圈的各类服务设施和服务项目可覆盖的社区个数占社区总个数的比例。</w:t>
            </w:r>
          </w:p>
        </w:tc>
        <w:tc>
          <w:tcPr>
            <w:tcW w:w="683" w:type="pct"/>
            <w:vAlign w:val="center"/>
          </w:tcPr>
          <w:p w14:paraId="4EEC9B9C">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tc>
        <w:tc>
          <w:tcPr>
            <w:tcW w:w="368" w:type="pct"/>
            <w:vAlign w:val="center"/>
          </w:tcPr>
          <w:p w14:paraId="6D7284EC">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18EF05AE">
            <w:pPr>
              <w:overflowPunct w:val="0"/>
              <w:topLinePunct/>
              <w:spacing w:after="0" w:line="320" w:lineRule="exact"/>
              <w:jc w:val="center"/>
              <w:rPr>
                <w:rFonts w:eastAsia="仿宋_GB2312"/>
                <w:sz w:val="21"/>
                <w:szCs w:val="21"/>
              </w:rPr>
            </w:pPr>
          </w:p>
        </w:tc>
      </w:tr>
      <w:tr w14:paraId="18459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31241EB5">
            <w:pPr>
              <w:overflowPunct w:val="0"/>
              <w:topLinePunct/>
              <w:spacing w:after="0" w:line="320" w:lineRule="exact"/>
              <w:jc w:val="center"/>
              <w:rPr>
                <w:rFonts w:eastAsia="仿宋_GB2312"/>
                <w:sz w:val="21"/>
                <w:szCs w:val="21"/>
              </w:rPr>
            </w:pPr>
            <w:r>
              <w:rPr>
                <w:rFonts w:hint="eastAsia" w:eastAsia="仿宋_GB2312"/>
                <w:sz w:val="21"/>
                <w:szCs w:val="21"/>
              </w:rPr>
              <w:t>19</w:t>
            </w:r>
          </w:p>
        </w:tc>
        <w:tc>
          <w:tcPr>
            <w:tcW w:w="358" w:type="pct"/>
            <w:vMerge w:val="continue"/>
            <w:vAlign w:val="center"/>
          </w:tcPr>
          <w:p w14:paraId="155A6ADB">
            <w:pPr>
              <w:overflowPunct w:val="0"/>
              <w:topLinePunct/>
              <w:spacing w:after="0" w:line="320" w:lineRule="exact"/>
              <w:jc w:val="center"/>
              <w:rPr>
                <w:rFonts w:eastAsia="仿宋_GB2312"/>
                <w:sz w:val="21"/>
                <w:szCs w:val="21"/>
              </w:rPr>
            </w:pPr>
          </w:p>
        </w:tc>
        <w:tc>
          <w:tcPr>
            <w:tcW w:w="678" w:type="pct"/>
            <w:vAlign w:val="center"/>
          </w:tcPr>
          <w:p w14:paraId="4381459D">
            <w:pPr>
              <w:overflowPunct w:val="0"/>
              <w:topLinePunct/>
              <w:spacing w:after="0" w:line="320" w:lineRule="exact"/>
              <w:jc w:val="center"/>
              <w:rPr>
                <w:rFonts w:eastAsia="仿宋_GB2312"/>
                <w:sz w:val="21"/>
                <w:szCs w:val="21"/>
              </w:rPr>
            </w:pPr>
            <w:r>
              <w:rPr>
                <w:rFonts w:hint="eastAsia" w:eastAsia="仿宋_GB2312"/>
                <w:sz w:val="21"/>
                <w:szCs w:val="21"/>
              </w:rPr>
              <w:t>生态文化阵地开放情况（四类环保设施向公众开放的比例）</w:t>
            </w:r>
          </w:p>
        </w:tc>
        <w:tc>
          <w:tcPr>
            <w:tcW w:w="790" w:type="pct"/>
            <w:vAlign w:val="center"/>
          </w:tcPr>
          <w:p w14:paraId="08CB2B74">
            <w:pPr>
              <w:overflowPunct w:val="0"/>
              <w:topLinePunct/>
              <w:spacing w:after="0" w:line="320" w:lineRule="exact"/>
              <w:jc w:val="center"/>
              <w:rPr>
                <w:rFonts w:eastAsia="仿宋_GB2312"/>
                <w:sz w:val="21"/>
                <w:szCs w:val="21"/>
              </w:rPr>
            </w:pPr>
            <w:r>
              <w:rPr>
                <w:rFonts w:hint="eastAsia" w:eastAsia="仿宋_GB2312"/>
                <w:sz w:val="21"/>
                <w:szCs w:val="21"/>
              </w:rPr>
              <w:t>入选环保设施和城市污水垃圾处理设施开放单位名单数量不低于4家或持续增加</w:t>
            </w:r>
          </w:p>
        </w:tc>
        <w:tc>
          <w:tcPr>
            <w:tcW w:w="1524" w:type="pct"/>
            <w:vAlign w:val="center"/>
          </w:tcPr>
          <w:p w14:paraId="324B16BB">
            <w:pPr>
              <w:overflowPunct w:val="0"/>
              <w:topLinePunct/>
              <w:spacing w:after="0" w:line="320" w:lineRule="exact"/>
              <w:jc w:val="center"/>
              <w:rPr>
                <w:rFonts w:eastAsia="仿宋_GB2312"/>
                <w:sz w:val="21"/>
                <w:szCs w:val="21"/>
              </w:rPr>
            </w:pPr>
            <w:r>
              <w:rPr>
                <w:rFonts w:hint="eastAsia" w:eastAsia="仿宋_GB2312"/>
                <w:sz w:val="21"/>
                <w:szCs w:val="21"/>
              </w:rPr>
              <w:t>指地区按照《关于推进环保设施和城市污水垃圾处理设施向公众开放的指导意见（环宣教〔2017〕62号）》等文件要求，深化环保设施开放，积极申报全国环保设施和城市污水垃圾处理设施开放单位情况。</w:t>
            </w:r>
          </w:p>
        </w:tc>
        <w:tc>
          <w:tcPr>
            <w:tcW w:w="683" w:type="pct"/>
            <w:vAlign w:val="center"/>
          </w:tcPr>
          <w:p w14:paraId="480DE607">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0F553F3C">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30AD5632">
            <w:pPr>
              <w:overflowPunct w:val="0"/>
              <w:topLinePunct/>
              <w:spacing w:after="0" w:line="320" w:lineRule="exact"/>
              <w:jc w:val="center"/>
              <w:rPr>
                <w:rFonts w:eastAsia="仿宋_GB2312"/>
                <w:sz w:val="21"/>
                <w:szCs w:val="21"/>
              </w:rPr>
            </w:pPr>
            <w:r>
              <w:rPr>
                <w:rFonts w:hint="eastAsia" w:eastAsia="仿宋_GB2312"/>
                <w:sz w:val="21"/>
                <w:szCs w:val="21"/>
              </w:rPr>
              <w:t>特色指标</w:t>
            </w:r>
          </w:p>
        </w:tc>
      </w:tr>
      <w:tr w14:paraId="13814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5B26CA0">
            <w:pPr>
              <w:overflowPunct w:val="0"/>
              <w:topLinePunct/>
              <w:spacing w:after="0" w:line="320" w:lineRule="exact"/>
              <w:jc w:val="center"/>
              <w:rPr>
                <w:rFonts w:eastAsia="仿宋_GB2312"/>
                <w:sz w:val="21"/>
                <w:szCs w:val="21"/>
              </w:rPr>
            </w:pPr>
            <w:r>
              <w:rPr>
                <w:rFonts w:hint="eastAsia" w:eastAsia="仿宋_GB2312"/>
                <w:sz w:val="21"/>
                <w:szCs w:val="21"/>
              </w:rPr>
              <w:t>20</w:t>
            </w:r>
          </w:p>
        </w:tc>
        <w:tc>
          <w:tcPr>
            <w:tcW w:w="358" w:type="pct"/>
            <w:vMerge w:val="restart"/>
            <w:vAlign w:val="center"/>
          </w:tcPr>
          <w:p w14:paraId="15C25CC6">
            <w:pPr>
              <w:overflowPunct w:val="0"/>
              <w:topLinePunct/>
              <w:spacing w:after="0" w:line="320" w:lineRule="exact"/>
              <w:jc w:val="center"/>
              <w:rPr>
                <w:rFonts w:eastAsia="仿宋_GB2312"/>
                <w:sz w:val="21"/>
                <w:szCs w:val="21"/>
              </w:rPr>
            </w:pPr>
            <w:r>
              <w:rPr>
                <w:rFonts w:hint="eastAsia" w:eastAsia="仿宋_GB2312"/>
                <w:sz w:val="21"/>
                <w:szCs w:val="21"/>
              </w:rPr>
              <w:t>安全健康</w:t>
            </w:r>
          </w:p>
        </w:tc>
        <w:tc>
          <w:tcPr>
            <w:tcW w:w="678" w:type="pct"/>
            <w:vAlign w:val="center"/>
          </w:tcPr>
          <w:p w14:paraId="461A39FC">
            <w:pPr>
              <w:overflowPunct w:val="0"/>
              <w:topLinePunct/>
              <w:spacing w:after="0" w:line="320" w:lineRule="exact"/>
              <w:jc w:val="center"/>
              <w:rPr>
                <w:rFonts w:eastAsia="仿宋_GB2312"/>
                <w:sz w:val="21"/>
                <w:szCs w:val="21"/>
              </w:rPr>
            </w:pPr>
            <w:r>
              <w:rPr>
                <w:rFonts w:hint="eastAsia" w:eastAsia="仿宋_GB2312"/>
                <w:sz w:val="21"/>
                <w:szCs w:val="21"/>
              </w:rPr>
              <w:t>本土物种生物多样性水平</w:t>
            </w:r>
          </w:p>
        </w:tc>
        <w:tc>
          <w:tcPr>
            <w:tcW w:w="790" w:type="pct"/>
            <w:vAlign w:val="center"/>
          </w:tcPr>
          <w:p w14:paraId="39FF38B0">
            <w:pPr>
              <w:overflowPunct w:val="0"/>
              <w:topLinePunct/>
              <w:spacing w:after="0" w:line="320" w:lineRule="exact"/>
              <w:jc w:val="center"/>
              <w:rPr>
                <w:rFonts w:eastAsia="仿宋_GB2312"/>
                <w:sz w:val="21"/>
                <w:szCs w:val="21"/>
              </w:rPr>
            </w:pPr>
            <w:r>
              <w:rPr>
                <w:rFonts w:hint="eastAsia" w:eastAsia="仿宋_GB2312"/>
                <w:sz w:val="21"/>
                <w:szCs w:val="21"/>
              </w:rPr>
              <w:t>本土物种保护成效显著且外来入侵物种未造成严重影响</w:t>
            </w:r>
          </w:p>
        </w:tc>
        <w:tc>
          <w:tcPr>
            <w:tcW w:w="1524" w:type="pct"/>
            <w:vAlign w:val="center"/>
          </w:tcPr>
          <w:p w14:paraId="07B75BD2">
            <w:pPr>
              <w:overflowPunct w:val="0"/>
              <w:topLinePunct/>
              <w:spacing w:after="0" w:line="320" w:lineRule="exact"/>
              <w:jc w:val="center"/>
              <w:rPr>
                <w:rFonts w:eastAsia="仿宋_GB2312"/>
                <w:sz w:val="21"/>
                <w:szCs w:val="21"/>
              </w:rPr>
            </w:pPr>
            <w:r>
              <w:rPr>
                <w:rFonts w:hint="eastAsia" w:eastAsia="仿宋_GB2312"/>
                <w:sz w:val="21"/>
                <w:szCs w:val="21"/>
              </w:rPr>
              <w:t>指依据生物多样性调查研判本土物种情况以及外来入侵物种情况。</w:t>
            </w:r>
          </w:p>
        </w:tc>
        <w:tc>
          <w:tcPr>
            <w:tcW w:w="683" w:type="pct"/>
            <w:vAlign w:val="center"/>
          </w:tcPr>
          <w:p w14:paraId="4E2C9B4A">
            <w:pPr>
              <w:overflowPunct w:val="0"/>
              <w:topLinePunct/>
              <w:spacing w:after="0" w:line="320" w:lineRule="exact"/>
              <w:jc w:val="center"/>
              <w:rPr>
                <w:rFonts w:eastAsia="仿宋_GB2312"/>
                <w:sz w:val="21"/>
                <w:szCs w:val="21"/>
              </w:rPr>
            </w:pPr>
            <w:r>
              <w:rPr>
                <w:rFonts w:hint="eastAsia" w:eastAsia="仿宋_GB2312"/>
                <w:sz w:val="21"/>
                <w:szCs w:val="21"/>
              </w:rPr>
              <w:t>生态环境厅、</w:t>
            </w:r>
          </w:p>
          <w:p w14:paraId="40AD3A1F">
            <w:pPr>
              <w:overflowPunct w:val="0"/>
              <w:topLinePunct/>
              <w:spacing w:after="0" w:line="320" w:lineRule="exact"/>
              <w:jc w:val="center"/>
              <w:rPr>
                <w:rFonts w:eastAsia="仿宋_GB2312"/>
                <w:sz w:val="21"/>
                <w:szCs w:val="21"/>
              </w:rPr>
            </w:pPr>
            <w:r>
              <w:rPr>
                <w:rFonts w:hint="eastAsia" w:eastAsia="仿宋_GB2312"/>
                <w:sz w:val="21"/>
                <w:szCs w:val="21"/>
              </w:rPr>
              <w:t>住房城乡建设厅、</w:t>
            </w:r>
          </w:p>
          <w:p w14:paraId="52B91EFD">
            <w:pPr>
              <w:overflowPunct w:val="0"/>
              <w:topLinePunct/>
              <w:spacing w:after="0" w:line="320" w:lineRule="exact"/>
              <w:jc w:val="center"/>
              <w:rPr>
                <w:rFonts w:eastAsia="仿宋_GB2312"/>
                <w:sz w:val="21"/>
                <w:szCs w:val="21"/>
              </w:rPr>
            </w:pPr>
            <w:r>
              <w:rPr>
                <w:rFonts w:hint="eastAsia" w:eastAsia="仿宋_GB2312"/>
                <w:sz w:val="21"/>
                <w:szCs w:val="21"/>
              </w:rPr>
              <w:t>农业农村厅、</w:t>
            </w:r>
          </w:p>
          <w:p w14:paraId="5615E048">
            <w:pPr>
              <w:overflowPunct w:val="0"/>
              <w:topLinePunct/>
              <w:spacing w:after="0" w:line="320" w:lineRule="exact"/>
              <w:jc w:val="center"/>
              <w:rPr>
                <w:rFonts w:eastAsia="仿宋_GB2312"/>
                <w:sz w:val="21"/>
                <w:szCs w:val="21"/>
              </w:rPr>
            </w:pPr>
            <w:r>
              <w:rPr>
                <w:rFonts w:hint="eastAsia" w:eastAsia="仿宋_GB2312"/>
                <w:sz w:val="21"/>
                <w:szCs w:val="21"/>
              </w:rPr>
              <w:t>省林草局</w:t>
            </w:r>
          </w:p>
        </w:tc>
        <w:tc>
          <w:tcPr>
            <w:tcW w:w="368" w:type="pct"/>
            <w:vAlign w:val="center"/>
          </w:tcPr>
          <w:p w14:paraId="09274F76">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7639A03B">
            <w:pPr>
              <w:overflowPunct w:val="0"/>
              <w:topLinePunct/>
              <w:spacing w:after="0" w:line="320" w:lineRule="exact"/>
              <w:jc w:val="center"/>
              <w:rPr>
                <w:rFonts w:eastAsia="仿宋_GB2312"/>
                <w:sz w:val="21"/>
                <w:szCs w:val="21"/>
              </w:rPr>
            </w:pPr>
          </w:p>
        </w:tc>
      </w:tr>
      <w:tr w14:paraId="69218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35501229">
            <w:pPr>
              <w:overflowPunct w:val="0"/>
              <w:topLinePunct/>
              <w:spacing w:after="0" w:line="320" w:lineRule="exact"/>
              <w:jc w:val="center"/>
              <w:rPr>
                <w:rFonts w:eastAsia="仿宋_GB2312"/>
                <w:sz w:val="21"/>
                <w:szCs w:val="21"/>
              </w:rPr>
            </w:pPr>
            <w:r>
              <w:rPr>
                <w:rFonts w:hint="eastAsia" w:eastAsia="仿宋_GB2312"/>
                <w:sz w:val="21"/>
                <w:szCs w:val="21"/>
              </w:rPr>
              <w:t>21</w:t>
            </w:r>
          </w:p>
        </w:tc>
        <w:tc>
          <w:tcPr>
            <w:tcW w:w="358" w:type="pct"/>
            <w:vMerge w:val="continue"/>
            <w:vAlign w:val="center"/>
          </w:tcPr>
          <w:p w14:paraId="28663DF0">
            <w:pPr>
              <w:overflowPunct w:val="0"/>
              <w:topLinePunct/>
              <w:spacing w:after="0" w:line="320" w:lineRule="exact"/>
              <w:jc w:val="center"/>
              <w:rPr>
                <w:rFonts w:eastAsia="仿宋_GB2312"/>
                <w:sz w:val="21"/>
                <w:szCs w:val="21"/>
              </w:rPr>
            </w:pPr>
          </w:p>
        </w:tc>
        <w:tc>
          <w:tcPr>
            <w:tcW w:w="678" w:type="pct"/>
            <w:vAlign w:val="center"/>
          </w:tcPr>
          <w:p w14:paraId="24A0D4FF">
            <w:pPr>
              <w:overflowPunct w:val="0"/>
              <w:topLinePunct/>
              <w:spacing w:after="0" w:line="320" w:lineRule="exact"/>
              <w:jc w:val="center"/>
              <w:rPr>
                <w:rFonts w:eastAsia="仿宋_GB2312"/>
                <w:sz w:val="21"/>
                <w:szCs w:val="21"/>
              </w:rPr>
            </w:pPr>
            <w:r>
              <w:rPr>
                <w:rFonts w:hint="eastAsia" w:eastAsia="仿宋_GB2312"/>
                <w:sz w:val="21"/>
                <w:szCs w:val="21"/>
              </w:rPr>
              <w:t>废旧（退役）放射源安全收贮率（%）</w:t>
            </w:r>
          </w:p>
        </w:tc>
        <w:tc>
          <w:tcPr>
            <w:tcW w:w="790" w:type="pct"/>
            <w:vAlign w:val="center"/>
          </w:tcPr>
          <w:p w14:paraId="2BF54D25">
            <w:pPr>
              <w:overflowPunct w:val="0"/>
              <w:topLinePunct/>
              <w:spacing w:after="0" w:line="320" w:lineRule="exact"/>
              <w:jc w:val="center"/>
              <w:rPr>
                <w:rFonts w:eastAsia="仿宋_GB2312"/>
                <w:sz w:val="21"/>
                <w:szCs w:val="21"/>
              </w:rPr>
            </w:pPr>
            <w:r>
              <w:rPr>
                <w:rFonts w:hint="eastAsia" w:eastAsia="仿宋_GB2312"/>
                <w:sz w:val="21"/>
                <w:szCs w:val="21"/>
              </w:rPr>
              <w:t>100</w:t>
            </w:r>
          </w:p>
        </w:tc>
        <w:tc>
          <w:tcPr>
            <w:tcW w:w="1524" w:type="pct"/>
            <w:vAlign w:val="center"/>
          </w:tcPr>
          <w:p w14:paraId="3F0452C8">
            <w:pPr>
              <w:overflowPunct w:val="0"/>
              <w:topLinePunct/>
              <w:spacing w:after="0" w:line="320" w:lineRule="exact"/>
              <w:jc w:val="center"/>
              <w:rPr>
                <w:rFonts w:eastAsia="仿宋_GB2312"/>
                <w:sz w:val="21"/>
                <w:szCs w:val="21"/>
              </w:rPr>
            </w:pPr>
            <w:r>
              <w:rPr>
                <w:rFonts w:hint="eastAsia" w:eastAsia="仿宋_GB2312"/>
                <w:sz w:val="21"/>
                <w:szCs w:val="21"/>
              </w:rPr>
              <w:t>指地区已规范收贮的放射源数量占应处置放射源总量的百分比。</w:t>
            </w:r>
          </w:p>
        </w:tc>
        <w:tc>
          <w:tcPr>
            <w:tcW w:w="683" w:type="pct"/>
            <w:vAlign w:val="center"/>
          </w:tcPr>
          <w:p w14:paraId="18344BCC">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43B44C2A">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663FF6BC">
            <w:pPr>
              <w:overflowPunct w:val="0"/>
              <w:topLinePunct/>
              <w:spacing w:after="0" w:line="320" w:lineRule="exact"/>
              <w:jc w:val="center"/>
              <w:rPr>
                <w:rFonts w:eastAsia="仿宋_GB2312"/>
                <w:sz w:val="21"/>
                <w:szCs w:val="21"/>
              </w:rPr>
            </w:pPr>
            <w:r>
              <w:rPr>
                <w:rFonts w:hint="eastAsia" w:eastAsia="仿宋_GB2312"/>
                <w:sz w:val="21"/>
                <w:szCs w:val="21"/>
              </w:rPr>
              <w:t>特色指标</w:t>
            </w:r>
          </w:p>
        </w:tc>
      </w:tr>
      <w:tr w14:paraId="6C714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041B4576">
            <w:pPr>
              <w:overflowPunct w:val="0"/>
              <w:topLinePunct/>
              <w:spacing w:after="0" w:line="320" w:lineRule="exact"/>
              <w:jc w:val="center"/>
              <w:rPr>
                <w:rFonts w:eastAsia="仿宋_GB2312"/>
                <w:sz w:val="21"/>
                <w:szCs w:val="21"/>
              </w:rPr>
            </w:pPr>
            <w:r>
              <w:rPr>
                <w:rFonts w:hint="eastAsia" w:eastAsia="仿宋_GB2312"/>
                <w:sz w:val="21"/>
                <w:szCs w:val="21"/>
              </w:rPr>
              <w:t>22</w:t>
            </w:r>
          </w:p>
        </w:tc>
        <w:tc>
          <w:tcPr>
            <w:tcW w:w="358" w:type="pct"/>
            <w:vMerge w:val="continue"/>
            <w:vAlign w:val="center"/>
          </w:tcPr>
          <w:p w14:paraId="19513BA0">
            <w:pPr>
              <w:overflowPunct w:val="0"/>
              <w:topLinePunct/>
              <w:spacing w:after="0" w:line="320" w:lineRule="exact"/>
              <w:jc w:val="center"/>
              <w:rPr>
                <w:rFonts w:eastAsia="仿宋_GB2312"/>
                <w:sz w:val="21"/>
                <w:szCs w:val="21"/>
              </w:rPr>
            </w:pPr>
          </w:p>
        </w:tc>
        <w:tc>
          <w:tcPr>
            <w:tcW w:w="678" w:type="pct"/>
            <w:vAlign w:val="center"/>
          </w:tcPr>
          <w:p w14:paraId="38AABEE5">
            <w:pPr>
              <w:overflowPunct w:val="0"/>
              <w:topLinePunct/>
              <w:spacing w:after="0" w:line="320" w:lineRule="exact"/>
              <w:jc w:val="center"/>
              <w:rPr>
                <w:rFonts w:eastAsia="仿宋_GB2312"/>
                <w:sz w:val="21"/>
                <w:szCs w:val="21"/>
              </w:rPr>
            </w:pPr>
            <w:r>
              <w:rPr>
                <w:rFonts w:hint="eastAsia" w:eastAsia="仿宋_GB2312"/>
                <w:sz w:val="21"/>
                <w:szCs w:val="21"/>
              </w:rPr>
              <w:t>城区透水面积占比（%）</w:t>
            </w:r>
          </w:p>
        </w:tc>
        <w:tc>
          <w:tcPr>
            <w:tcW w:w="790" w:type="pct"/>
            <w:vAlign w:val="center"/>
          </w:tcPr>
          <w:p w14:paraId="61CBF15F">
            <w:pPr>
              <w:overflowPunct w:val="0"/>
              <w:topLinePunct/>
              <w:spacing w:after="0" w:line="320" w:lineRule="exact"/>
              <w:jc w:val="center"/>
              <w:rPr>
                <w:rFonts w:eastAsia="仿宋_GB2312"/>
                <w:sz w:val="21"/>
                <w:szCs w:val="21"/>
              </w:rPr>
            </w:pPr>
            <w:r>
              <w:rPr>
                <w:rFonts w:hint="eastAsia" w:eastAsia="仿宋_GB2312"/>
                <w:sz w:val="21"/>
                <w:szCs w:val="21"/>
              </w:rPr>
              <w:t>≥45</w:t>
            </w:r>
          </w:p>
        </w:tc>
        <w:tc>
          <w:tcPr>
            <w:tcW w:w="1524" w:type="pct"/>
            <w:vAlign w:val="center"/>
          </w:tcPr>
          <w:p w14:paraId="569DFC07">
            <w:pPr>
              <w:overflowPunct w:val="0"/>
              <w:topLinePunct/>
              <w:spacing w:after="0" w:line="320" w:lineRule="exact"/>
              <w:jc w:val="center"/>
              <w:rPr>
                <w:rFonts w:eastAsia="仿宋_GB2312"/>
                <w:sz w:val="21"/>
                <w:szCs w:val="21"/>
              </w:rPr>
            </w:pPr>
            <w:r>
              <w:rPr>
                <w:rFonts w:hint="eastAsia" w:eastAsia="仿宋_GB2312"/>
                <w:sz w:val="21"/>
                <w:szCs w:val="21"/>
              </w:rPr>
              <w:t>指城区内透水表面面积占总城区面积的比例。</w:t>
            </w:r>
          </w:p>
        </w:tc>
        <w:tc>
          <w:tcPr>
            <w:tcW w:w="683" w:type="pct"/>
            <w:vAlign w:val="center"/>
          </w:tcPr>
          <w:p w14:paraId="7C087D67">
            <w:pPr>
              <w:overflowPunct w:val="0"/>
              <w:topLinePunct/>
              <w:spacing w:after="0" w:line="320" w:lineRule="exact"/>
              <w:jc w:val="center"/>
              <w:rPr>
                <w:rFonts w:eastAsia="仿宋_GB2312"/>
                <w:sz w:val="21"/>
                <w:szCs w:val="21"/>
              </w:rPr>
            </w:pPr>
            <w:r>
              <w:rPr>
                <w:rFonts w:hint="eastAsia" w:eastAsia="仿宋_GB2312"/>
                <w:sz w:val="21"/>
                <w:szCs w:val="21"/>
              </w:rPr>
              <w:t>自然资源厅</w:t>
            </w:r>
          </w:p>
        </w:tc>
        <w:tc>
          <w:tcPr>
            <w:tcW w:w="368" w:type="pct"/>
            <w:vAlign w:val="center"/>
          </w:tcPr>
          <w:p w14:paraId="56A80AE3">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02BB56DE">
            <w:pPr>
              <w:overflowPunct w:val="0"/>
              <w:topLinePunct/>
              <w:spacing w:after="0" w:line="320" w:lineRule="exact"/>
              <w:jc w:val="center"/>
              <w:rPr>
                <w:rFonts w:eastAsia="仿宋_GB2312"/>
                <w:sz w:val="21"/>
                <w:szCs w:val="21"/>
              </w:rPr>
            </w:pPr>
          </w:p>
        </w:tc>
      </w:tr>
      <w:tr w14:paraId="2E83F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AFA1BEB">
            <w:pPr>
              <w:overflowPunct w:val="0"/>
              <w:topLinePunct/>
              <w:spacing w:after="0" w:line="320" w:lineRule="exact"/>
              <w:jc w:val="center"/>
              <w:rPr>
                <w:rFonts w:eastAsia="仿宋_GB2312"/>
                <w:sz w:val="21"/>
                <w:szCs w:val="21"/>
              </w:rPr>
            </w:pPr>
            <w:r>
              <w:rPr>
                <w:rFonts w:hint="eastAsia" w:eastAsia="仿宋_GB2312"/>
                <w:sz w:val="21"/>
                <w:szCs w:val="21"/>
              </w:rPr>
              <w:t>23</w:t>
            </w:r>
          </w:p>
        </w:tc>
        <w:tc>
          <w:tcPr>
            <w:tcW w:w="358" w:type="pct"/>
            <w:vMerge w:val="continue"/>
            <w:vAlign w:val="center"/>
          </w:tcPr>
          <w:p w14:paraId="0A628D51">
            <w:pPr>
              <w:overflowPunct w:val="0"/>
              <w:topLinePunct/>
              <w:spacing w:after="0" w:line="320" w:lineRule="exact"/>
              <w:jc w:val="center"/>
              <w:rPr>
                <w:rFonts w:eastAsia="仿宋_GB2312"/>
                <w:sz w:val="21"/>
                <w:szCs w:val="21"/>
              </w:rPr>
            </w:pPr>
          </w:p>
        </w:tc>
        <w:tc>
          <w:tcPr>
            <w:tcW w:w="678" w:type="pct"/>
            <w:vAlign w:val="center"/>
          </w:tcPr>
          <w:p w14:paraId="2249E49F">
            <w:pPr>
              <w:overflowPunct w:val="0"/>
              <w:topLinePunct/>
              <w:spacing w:after="0" w:line="320" w:lineRule="exact"/>
              <w:jc w:val="center"/>
              <w:rPr>
                <w:rFonts w:eastAsia="仿宋_GB2312"/>
                <w:sz w:val="21"/>
                <w:szCs w:val="21"/>
              </w:rPr>
            </w:pPr>
            <w:r>
              <w:rPr>
                <w:rFonts w:hint="eastAsia" w:eastAsia="仿宋_GB2312"/>
                <w:sz w:val="21"/>
                <w:szCs w:val="21"/>
              </w:rPr>
              <w:t>城市集中式饮用水水源水质达标率（%）</w:t>
            </w:r>
          </w:p>
        </w:tc>
        <w:tc>
          <w:tcPr>
            <w:tcW w:w="790" w:type="pct"/>
            <w:vAlign w:val="center"/>
          </w:tcPr>
          <w:p w14:paraId="31908915">
            <w:pPr>
              <w:overflowPunct w:val="0"/>
              <w:topLinePunct/>
              <w:spacing w:after="0" w:line="320" w:lineRule="exact"/>
              <w:jc w:val="center"/>
              <w:rPr>
                <w:rFonts w:eastAsia="仿宋_GB2312"/>
                <w:sz w:val="21"/>
                <w:szCs w:val="21"/>
              </w:rPr>
            </w:pPr>
            <w:r>
              <w:rPr>
                <w:rFonts w:hint="eastAsia" w:eastAsia="仿宋_GB2312"/>
                <w:sz w:val="21"/>
                <w:szCs w:val="21"/>
              </w:rPr>
              <w:t>100</w:t>
            </w:r>
          </w:p>
        </w:tc>
        <w:tc>
          <w:tcPr>
            <w:tcW w:w="1524" w:type="pct"/>
            <w:vAlign w:val="center"/>
          </w:tcPr>
          <w:p w14:paraId="54A0557B">
            <w:pPr>
              <w:overflowPunct w:val="0"/>
              <w:topLinePunct/>
              <w:spacing w:after="0" w:line="320" w:lineRule="exact"/>
              <w:jc w:val="center"/>
              <w:rPr>
                <w:rFonts w:eastAsia="仿宋_GB2312"/>
                <w:sz w:val="21"/>
                <w:szCs w:val="21"/>
              </w:rPr>
            </w:pPr>
            <w:r>
              <w:rPr>
                <w:rFonts w:hint="eastAsia" w:eastAsia="仿宋_GB2312"/>
                <w:sz w:val="21"/>
                <w:szCs w:val="21"/>
              </w:rPr>
              <w:t>指地区县级及以上集中式饮用水水源地中饮用水水源水质达到</w:t>
            </w:r>
            <w:r>
              <w:rPr>
                <w:rFonts w:hint="eastAsia" w:eastAsia="仿宋_GB2312" w:cs="宋体"/>
                <w:sz w:val="21"/>
                <w:szCs w:val="21"/>
              </w:rPr>
              <w:t>Ⅲ</w:t>
            </w:r>
            <w:r>
              <w:rPr>
                <w:rFonts w:hint="eastAsia" w:eastAsia="仿宋_GB2312"/>
                <w:sz w:val="21"/>
                <w:szCs w:val="21"/>
              </w:rPr>
              <w:t>类水源数量占水源总数的比例。</w:t>
            </w:r>
          </w:p>
        </w:tc>
        <w:tc>
          <w:tcPr>
            <w:tcW w:w="683" w:type="pct"/>
            <w:vAlign w:val="center"/>
          </w:tcPr>
          <w:p w14:paraId="16D779A9">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3D534150">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3B611E28">
            <w:pPr>
              <w:overflowPunct w:val="0"/>
              <w:topLinePunct/>
              <w:spacing w:after="0" w:line="320" w:lineRule="exact"/>
              <w:jc w:val="center"/>
              <w:rPr>
                <w:rFonts w:eastAsia="仿宋_GB2312"/>
                <w:sz w:val="21"/>
                <w:szCs w:val="21"/>
              </w:rPr>
            </w:pPr>
          </w:p>
        </w:tc>
      </w:tr>
      <w:tr w14:paraId="598A7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07BCB9B2">
            <w:pPr>
              <w:overflowPunct w:val="0"/>
              <w:topLinePunct/>
              <w:spacing w:after="0" w:line="320" w:lineRule="exact"/>
              <w:jc w:val="center"/>
              <w:rPr>
                <w:rFonts w:eastAsia="仿宋_GB2312"/>
                <w:sz w:val="21"/>
                <w:szCs w:val="21"/>
              </w:rPr>
            </w:pPr>
            <w:r>
              <w:rPr>
                <w:rFonts w:hint="eastAsia" w:eastAsia="仿宋_GB2312"/>
                <w:sz w:val="21"/>
                <w:szCs w:val="21"/>
              </w:rPr>
              <w:t>24</w:t>
            </w:r>
          </w:p>
        </w:tc>
        <w:tc>
          <w:tcPr>
            <w:tcW w:w="358" w:type="pct"/>
            <w:vMerge w:val="continue"/>
            <w:vAlign w:val="center"/>
          </w:tcPr>
          <w:p w14:paraId="28D89886">
            <w:pPr>
              <w:overflowPunct w:val="0"/>
              <w:topLinePunct/>
              <w:spacing w:after="0" w:line="320" w:lineRule="exact"/>
              <w:jc w:val="center"/>
              <w:rPr>
                <w:rFonts w:eastAsia="仿宋_GB2312"/>
                <w:sz w:val="21"/>
                <w:szCs w:val="21"/>
              </w:rPr>
            </w:pPr>
          </w:p>
        </w:tc>
        <w:tc>
          <w:tcPr>
            <w:tcW w:w="678" w:type="pct"/>
            <w:vAlign w:val="center"/>
          </w:tcPr>
          <w:p w14:paraId="4A5057EE">
            <w:pPr>
              <w:overflowPunct w:val="0"/>
              <w:topLinePunct/>
              <w:spacing w:after="0" w:line="320" w:lineRule="exact"/>
              <w:jc w:val="center"/>
              <w:rPr>
                <w:rFonts w:eastAsia="仿宋_GB2312"/>
                <w:sz w:val="21"/>
                <w:szCs w:val="21"/>
              </w:rPr>
            </w:pPr>
            <w:r>
              <w:rPr>
                <w:rFonts w:hint="eastAsia" w:eastAsia="仿宋_GB2312"/>
                <w:sz w:val="21"/>
                <w:szCs w:val="21"/>
              </w:rPr>
              <w:t>环境健康风险源管控率（%）</w:t>
            </w:r>
          </w:p>
        </w:tc>
        <w:tc>
          <w:tcPr>
            <w:tcW w:w="790" w:type="pct"/>
            <w:vAlign w:val="center"/>
          </w:tcPr>
          <w:p w14:paraId="743FBA88">
            <w:pPr>
              <w:overflowPunct w:val="0"/>
              <w:topLinePunct/>
              <w:spacing w:after="0" w:line="320" w:lineRule="exact"/>
              <w:jc w:val="center"/>
              <w:rPr>
                <w:rFonts w:eastAsia="仿宋_GB2312"/>
                <w:sz w:val="21"/>
                <w:szCs w:val="21"/>
              </w:rPr>
            </w:pPr>
            <w:r>
              <w:rPr>
                <w:rFonts w:hint="eastAsia" w:eastAsia="仿宋_GB2312"/>
                <w:sz w:val="21"/>
                <w:szCs w:val="21"/>
              </w:rPr>
              <w:t>纳入环境监管重点单位名录的较高风险等级及以上的风险源应纳尽纳</w:t>
            </w:r>
          </w:p>
        </w:tc>
        <w:tc>
          <w:tcPr>
            <w:tcW w:w="1524" w:type="pct"/>
            <w:vAlign w:val="center"/>
          </w:tcPr>
          <w:p w14:paraId="76FE47FE">
            <w:pPr>
              <w:overflowPunct w:val="0"/>
              <w:topLinePunct/>
              <w:spacing w:after="0" w:line="320" w:lineRule="exact"/>
              <w:jc w:val="center"/>
              <w:rPr>
                <w:rFonts w:eastAsia="仿宋_GB2312"/>
                <w:sz w:val="21"/>
                <w:szCs w:val="21"/>
              </w:rPr>
            </w:pPr>
            <w:r>
              <w:rPr>
                <w:rFonts w:hint="eastAsia" w:eastAsia="仿宋_GB2312"/>
                <w:sz w:val="21"/>
                <w:szCs w:val="21"/>
              </w:rPr>
              <w:t>指地区依据环境健康风险源识别与分级有关技术指南确定本行政区环境健康风险源分级情况，其中较高风险等级及以上的风险源被纳入环境监管重点单位名录的比例。</w:t>
            </w:r>
          </w:p>
        </w:tc>
        <w:tc>
          <w:tcPr>
            <w:tcW w:w="683" w:type="pct"/>
            <w:vAlign w:val="center"/>
          </w:tcPr>
          <w:p w14:paraId="1482439E">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5D0933FF">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6093222E">
            <w:pPr>
              <w:overflowPunct w:val="0"/>
              <w:topLinePunct/>
              <w:spacing w:after="0" w:line="320" w:lineRule="exact"/>
              <w:jc w:val="center"/>
              <w:rPr>
                <w:rFonts w:eastAsia="仿宋_GB2312"/>
                <w:sz w:val="21"/>
                <w:szCs w:val="21"/>
              </w:rPr>
            </w:pPr>
          </w:p>
        </w:tc>
      </w:tr>
      <w:tr w14:paraId="241F1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2F37FCA">
            <w:pPr>
              <w:overflowPunct w:val="0"/>
              <w:topLinePunct/>
              <w:spacing w:after="0" w:line="320" w:lineRule="exact"/>
              <w:jc w:val="center"/>
              <w:rPr>
                <w:rFonts w:eastAsia="仿宋_GB2312"/>
                <w:sz w:val="21"/>
                <w:szCs w:val="21"/>
              </w:rPr>
            </w:pPr>
            <w:r>
              <w:rPr>
                <w:rFonts w:hint="eastAsia" w:eastAsia="仿宋_GB2312"/>
                <w:sz w:val="21"/>
                <w:szCs w:val="21"/>
              </w:rPr>
              <w:t>25</w:t>
            </w:r>
          </w:p>
        </w:tc>
        <w:tc>
          <w:tcPr>
            <w:tcW w:w="358" w:type="pct"/>
            <w:vMerge w:val="continue"/>
            <w:vAlign w:val="center"/>
          </w:tcPr>
          <w:p w14:paraId="678E165B">
            <w:pPr>
              <w:overflowPunct w:val="0"/>
              <w:topLinePunct/>
              <w:spacing w:after="0" w:line="320" w:lineRule="exact"/>
              <w:jc w:val="center"/>
              <w:rPr>
                <w:rFonts w:eastAsia="仿宋_GB2312"/>
                <w:sz w:val="21"/>
                <w:szCs w:val="21"/>
              </w:rPr>
            </w:pPr>
          </w:p>
        </w:tc>
        <w:tc>
          <w:tcPr>
            <w:tcW w:w="678" w:type="pct"/>
            <w:vAlign w:val="center"/>
          </w:tcPr>
          <w:p w14:paraId="1870A462">
            <w:pPr>
              <w:overflowPunct w:val="0"/>
              <w:topLinePunct/>
              <w:spacing w:after="0" w:line="320" w:lineRule="exact"/>
              <w:jc w:val="center"/>
              <w:rPr>
                <w:rFonts w:eastAsia="仿宋_GB2312"/>
                <w:sz w:val="21"/>
                <w:szCs w:val="21"/>
              </w:rPr>
            </w:pPr>
            <w:r>
              <w:rPr>
                <w:rFonts w:hint="eastAsia" w:eastAsia="仿宋_GB2312"/>
                <w:sz w:val="21"/>
                <w:szCs w:val="21"/>
              </w:rPr>
              <w:t>气象灾害风险预警信息覆盖率（%）</w:t>
            </w:r>
          </w:p>
        </w:tc>
        <w:tc>
          <w:tcPr>
            <w:tcW w:w="790" w:type="pct"/>
            <w:vAlign w:val="center"/>
          </w:tcPr>
          <w:p w14:paraId="0D62DD64">
            <w:pPr>
              <w:overflowPunct w:val="0"/>
              <w:topLinePunct/>
              <w:spacing w:after="0" w:line="320" w:lineRule="exact"/>
              <w:jc w:val="center"/>
              <w:rPr>
                <w:rFonts w:eastAsia="仿宋_GB2312"/>
                <w:sz w:val="21"/>
                <w:szCs w:val="21"/>
              </w:rPr>
            </w:pPr>
            <w:r>
              <w:rPr>
                <w:rFonts w:hint="eastAsia" w:eastAsia="仿宋_GB2312"/>
                <w:sz w:val="21"/>
                <w:szCs w:val="21"/>
              </w:rPr>
              <w:t>≥98</w:t>
            </w:r>
          </w:p>
        </w:tc>
        <w:tc>
          <w:tcPr>
            <w:tcW w:w="1524" w:type="pct"/>
            <w:vAlign w:val="center"/>
          </w:tcPr>
          <w:p w14:paraId="43F458CB">
            <w:pPr>
              <w:overflowPunct w:val="0"/>
              <w:topLinePunct/>
              <w:spacing w:after="0" w:line="320" w:lineRule="exact"/>
              <w:jc w:val="center"/>
              <w:rPr>
                <w:rFonts w:eastAsia="仿宋_GB2312"/>
                <w:sz w:val="21"/>
                <w:szCs w:val="21"/>
              </w:rPr>
            </w:pPr>
            <w:r>
              <w:rPr>
                <w:rFonts w:hint="eastAsia" w:eastAsia="仿宋_GB2312"/>
                <w:sz w:val="21"/>
                <w:szCs w:val="21"/>
              </w:rPr>
              <w:t>指向某区域发布的预警信息在当前传播能力下可覆盖到的最大人口数量占本区域常住人口数量的比例。</w:t>
            </w:r>
          </w:p>
        </w:tc>
        <w:tc>
          <w:tcPr>
            <w:tcW w:w="683" w:type="pct"/>
            <w:vAlign w:val="center"/>
          </w:tcPr>
          <w:p w14:paraId="3009DA06">
            <w:pPr>
              <w:overflowPunct w:val="0"/>
              <w:topLinePunct/>
              <w:spacing w:after="0" w:line="320" w:lineRule="exact"/>
              <w:jc w:val="center"/>
              <w:rPr>
                <w:rFonts w:eastAsia="仿宋_GB2312"/>
                <w:sz w:val="21"/>
                <w:szCs w:val="21"/>
              </w:rPr>
            </w:pPr>
            <w:r>
              <w:rPr>
                <w:rFonts w:hint="eastAsia" w:eastAsia="仿宋_GB2312"/>
                <w:sz w:val="21"/>
                <w:szCs w:val="21"/>
              </w:rPr>
              <w:t>省气象局</w:t>
            </w:r>
          </w:p>
        </w:tc>
        <w:tc>
          <w:tcPr>
            <w:tcW w:w="368" w:type="pct"/>
            <w:vAlign w:val="center"/>
          </w:tcPr>
          <w:p w14:paraId="779BB0E9">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144C91BA">
            <w:pPr>
              <w:overflowPunct w:val="0"/>
              <w:topLinePunct/>
              <w:spacing w:after="0" w:line="320" w:lineRule="exact"/>
              <w:jc w:val="center"/>
              <w:rPr>
                <w:rFonts w:eastAsia="仿宋_GB2312"/>
                <w:sz w:val="21"/>
                <w:szCs w:val="21"/>
              </w:rPr>
            </w:pPr>
            <w:r>
              <w:rPr>
                <w:rFonts w:hint="eastAsia" w:eastAsia="仿宋_GB2312"/>
                <w:sz w:val="21"/>
                <w:szCs w:val="21"/>
              </w:rPr>
              <w:t>特色指标</w:t>
            </w:r>
          </w:p>
        </w:tc>
      </w:tr>
      <w:tr w14:paraId="2D428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5D3286D5">
            <w:pPr>
              <w:overflowPunct w:val="0"/>
              <w:topLinePunct/>
              <w:spacing w:after="0" w:line="320" w:lineRule="exact"/>
              <w:jc w:val="center"/>
              <w:rPr>
                <w:rFonts w:eastAsia="仿宋_GB2312"/>
                <w:sz w:val="21"/>
                <w:szCs w:val="21"/>
              </w:rPr>
            </w:pPr>
            <w:r>
              <w:rPr>
                <w:rFonts w:hint="eastAsia" w:eastAsia="仿宋_GB2312"/>
                <w:sz w:val="21"/>
                <w:szCs w:val="21"/>
              </w:rPr>
              <w:t>26</w:t>
            </w:r>
          </w:p>
        </w:tc>
        <w:tc>
          <w:tcPr>
            <w:tcW w:w="358" w:type="pct"/>
            <w:vMerge w:val="restart"/>
            <w:vAlign w:val="center"/>
          </w:tcPr>
          <w:p w14:paraId="2E617D01">
            <w:pPr>
              <w:overflowPunct w:val="0"/>
              <w:topLinePunct/>
              <w:spacing w:after="0" w:line="320" w:lineRule="exact"/>
              <w:jc w:val="center"/>
              <w:rPr>
                <w:rFonts w:eastAsia="仿宋_GB2312"/>
                <w:sz w:val="21"/>
                <w:szCs w:val="21"/>
              </w:rPr>
            </w:pPr>
            <w:r>
              <w:rPr>
                <w:rFonts w:hint="eastAsia" w:eastAsia="仿宋_GB2312"/>
                <w:sz w:val="21"/>
                <w:szCs w:val="21"/>
              </w:rPr>
              <w:t>智慧高效</w:t>
            </w:r>
          </w:p>
        </w:tc>
        <w:tc>
          <w:tcPr>
            <w:tcW w:w="678" w:type="pct"/>
            <w:vAlign w:val="center"/>
          </w:tcPr>
          <w:p w14:paraId="62A51FA2">
            <w:pPr>
              <w:overflowPunct w:val="0"/>
              <w:topLinePunct/>
              <w:spacing w:after="0" w:line="320" w:lineRule="exact"/>
              <w:jc w:val="center"/>
              <w:rPr>
                <w:rFonts w:eastAsia="仿宋_GB2312"/>
                <w:sz w:val="21"/>
                <w:szCs w:val="21"/>
              </w:rPr>
            </w:pPr>
            <w:r>
              <w:rPr>
                <w:rFonts w:hint="eastAsia" w:eastAsia="仿宋_GB2312"/>
                <w:sz w:val="21"/>
                <w:szCs w:val="21"/>
              </w:rPr>
              <w:t>生态环境监测网络覆盖情况</w:t>
            </w:r>
          </w:p>
        </w:tc>
        <w:tc>
          <w:tcPr>
            <w:tcW w:w="790" w:type="pct"/>
            <w:vAlign w:val="center"/>
          </w:tcPr>
          <w:p w14:paraId="56FC1324">
            <w:pPr>
              <w:overflowPunct w:val="0"/>
              <w:topLinePunct/>
              <w:spacing w:after="0" w:line="320" w:lineRule="exact"/>
              <w:jc w:val="center"/>
              <w:rPr>
                <w:rFonts w:eastAsia="仿宋_GB2312"/>
                <w:sz w:val="21"/>
                <w:szCs w:val="21"/>
              </w:rPr>
            </w:pPr>
            <w:r>
              <w:rPr>
                <w:rFonts w:hint="eastAsia" w:eastAsia="仿宋_GB2312"/>
                <w:sz w:val="21"/>
                <w:szCs w:val="21"/>
              </w:rPr>
              <w:t>布局科学，功能完善</w:t>
            </w:r>
          </w:p>
        </w:tc>
        <w:tc>
          <w:tcPr>
            <w:tcW w:w="1524" w:type="pct"/>
            <w:vAlign w:val="center"/>
          </w:tcPr>
          <w:p w14:paraId="4CB578EE">
            <w:pPr>
              <w:overflowPunct w:val="0"/>
              <w:topLinePunct/>
              <w:spacing w:after="0" w:line="320" w:lineRule="exact"/>
              <w:jc w:val="center"/>
              <w:rPr>
                <w:rFonts w:eastAsia="仿宋_GB2312"/>
                <w:sz w:val="21"/>
                <w:szCs w:val="21"/>
              </w:rPr>
            </w:pPr>
            <w:r>
              <w:rPr>
                <w:rFonts w:hint="eastAsia" w:eastAsia="仿宋_GB2312"/>
                <w:sz w:val="21"/>
                <w:szCs w:val="21"/>
              </w:rPr>
              <w:t>指城市生态环境监测体系在大气、水、土壤和地下水、声、辐射、新污染物、生态质量监测等方面的监测要素数量、监测站点密度、监测体系情况。</w:t>
            </w:r>
          </w:p>
        </w:tc>
        <w:tc>
          <w:tcPr>
            <w:tcW w:w="683" w:type="pct"/>
            <w:vAlign w:val="center"/>
          </w:tcPr>
          <w:p w14:paraId="3E5B1EDC">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20753AA1">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21BADA4F">
            <w:pPr>
              <w:overflowPunct w:val="0"/>
              <w:topLinePunct/>
              <w:spacing w:after="0" w:line="320" w:lineRule="exact"/>
              <w:jc w:val="center"/>
              <w:rPr>
                <w:rFonts w:eastAsia="仿宋_GB2312"/>
                <w:sz w:val="21"/>
                <w:szCs w:val="21"/>
              </w:rPr>
            </w:pPr>
          </w:p>
        </w:tc>
      </w:tr>
      <w:tr w14:paraId="0EEB6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12131FB1">
            <w:pPr>
              <w:overflowPunct w:val="0"/>
              <w:topLinePunct/>
              <w:spacing w:after="0" w:line="320" w:lineRule="exact"/>
              <w:jc w:val="center"/>
              <w:rPr>
                <w:rFonts w:eastAsia="仿宋_GB2312"/>
                <w:sz w:val="21"/>
                <w:szCs w:val="21"/>
              </w:rPr>
            </w:pPr>
            <w:r>
              <w:rPr>
                <w:rFonts w:hint="eastAsia" w:eastAsia="仿宋_GB2312"/>
                <w:sz w:val="21"/>
                <w:szCs w:val="21"/>
              </w:rPr>
              <w:t>27</w:t>
            </w:r>
          </w:p>
        </w:tc>
        <w:tc>
          <w:tcPr>
            <w:tcW w:w="358" w:type="pct"/>
            <w:vMerge w:val="continue"/>
            <w:vAlign w:val="center"/>
          </w:tcPr>
          <w:p w14:paraId="40882774">
            <w:pPr>
              <w:overflowPunct w:val="0"/>
              <w:topLinePunct/>
              <w:spacing w:after="0" w:line="320" w:lineRule="exact"/>
              <w:jc w:val="center"/>
              <w:rPr>
                <w:rFonts w:eastAsia="仿宋_GB2312"/>
                <w:sz w:val="21"/>
                <w:szCs w:val="21"/>
              </w:rPr>
            </w:pPr>
          </w:p>
        </w:tc>
        <w:tc>
          <w:tcPr>
            <w:tcW w:w="678" w:type="pct"/>
            <w:vAlign w:val="center"/>
          </w:tcPr>
          <w:p w14:paraId="26892CF4">
            <w:pPr>
              <w:overflowPunct w:val="0"/>
              <w:topLinePunct/>
              <w:spacing w:after="0" w:line="320" w:lineRule="exact"/>
              <w:jc w:val="center"/>
              <w:rPr>
                <w:rFonts w:eastAsia="仿宋_GB2312"/>
                <w:sz w:val="21"/>
                <w:szCs w:val="21"/>
              </w:rPr>
            </w:pPr>
            <w:r>
              <w:rPr>
                <w:rFonts w:hint="eastAsia" w:eastAsia="仿宋_GB2312"/>
                <w:sz w:val="21"/>
                <w:szCs w:val="21"/>
              </w:rPr>
              <w:t>城市智慧环保信息平台应用场景（个）</w:t>
            </w:r>
          </w:p>
        </w:tc>
        <w:tc>
          <w:tcPr>
            <w:tcW w:w="790" w:type="pct"/>
            <w:vAlign w:val="center"/>
          </w:tcPr>
          <w:p w14:paraId="6DED12AA">
            <w:pPr>
              <w:overflowPunct w:val="0"/>
              <w:topLinePunct/>
              <w:spacing w:after="0" w:line="320" w:lineRule="exact"/>
              <w:jc w:val="center"/>
              <w:rPr>
                <w:rFonts w:eastAsia="仿宋_GB2312"/>
                <w:sz w:val="21"/>
                <w:szCs w:val="21"/>
              </w:rPr>
            </w:pPr>
            <w:r>
              <w:rPr>
                <w:rFonts w:hint="eastAsia" w:eastAsia="仿宋_GB2312"/>
                <w:sz w:val="21"/>
                <w:szCs w:val="21"/>
              </w:rPr>
              <w:t>持续增加</w:t>
            </w:r>
          </w:p>
        </w:tc>
        <w:tc>
          <w:tcPr>
            <w:tcW w:w="1524" w:type="pct"/>
            <w:vAlign w:val="center"/>
          </w:tcPr>
          <w:p w14:paraId="10102867">
            <w:pPr>
              <w:overflowPunct w:val="0"/>
              <w:topLinePunct/>
              <w:spacing w:after="0" w:line="320" w:lineRule="exact"/>
              <w:jc w:val="center"/>
              <w:rPr>
                <w:rFonts w:eastAsia="仿宋_GB2312"/>
                <w:sz w:val="21"/>
                <w:szCs w:val="21"/>
              </w:rPr>
            </w:pPr>
            <w:r>
              <w:rPr>
                <w:rFonts w:hint="eastAsia" w:eastAsia="仿宋_GB2312"/>
                <w:sz w:val="21"/>
                <w:szCs w:val="21"/>
              </w:rPr>
              <w:t>指城市智慧环保信息平台应用场景个数。</w:t>
            </w:r>
          </w:p>
        </w:tc>
        <w:tc>
          <w:tcPr>
            <w:tcW w:w="683" w:type="pct"/>
            <w:vAlign w:val="center"/>
          </w:tcPr>
          <w:p w14:paraId="5E58BED6">
            <w:pPr>
              <w:overflowPunct w:val="0"/>
              <w:topLinePunct/>
              <w:spacing w:after="0" w:line="320" w:lineRule="exact"/>
              <w:jc w:val="center"/>
              <w:rPr>
                <w:rFonts w:eastAsia="仿宋_GB2312"/>
                <w:sz w:val="21"/>
                <w:szCs w:val="21"/>
              </w:rPr>
            </w:pPr>
            <w:r>
              <w:rPr>
                <w:rFonts w:hint="eastAsia" w:eastAsia="仿宋_GB2312"/>
                <w:sz w:val="21"/>
                <w:szCs w:val="21"/>
              </w:rPr>
              <w:t>生态环境厅</w:t>
            </w:r>
          </w:p>
        </w:tc>
        <w:tc>
          <w:tcPr>
            <w:tcW w:w="368" w:type="pct"/>
            <w:vAlign w:val="center"/>
          </w:tcPr>
          <w:p w14:paraId="511D140E">
            <w:pPr>
              <w:overflowPunct w:val="0"/>
              <w:topLinePunct/>
              <w:spacing w:after="0" w:line="320" w:lineRule="exact"/>
              <w:jc w:val="center"/>
              <w:rPr>
                <w:rFonts w:eastAsia="仿宋_GB2312"/>
                <w:sz w:val="21"/>
                <w:szCs w:val="21"/>
              </w:rPr>
            </w:pPr>
            <w:r>
              <w:rPr>
                <w:rFonts w:hint="eastAsia" w:eastAsia="仿宋_GB2312"/>
                <w:sz w:val="21"/>
                <w:szCs w:val="21"/>
              </w:rPr>
              <w:t>市域</w:t>
            </w:r>
          </w:p>
        </w:tc>
        <w:tc>
          <w:tcPr>
            <w:tcW w:w="376" w:type="pct"/>
            <w:vAlign w:val="center"/>
          </w:tcPr>
          <w:p w14:paraId="76E6C6AB">
            <w:pPr>
              <w:overflowPunct w:val="0"/>
              <w:topLinePunct/>
              <w:spacing w:after="0" w:line="320" w:lineRule="exact"/>
              <w:jc w:val="center"/>
              <w:rPr>
                <w:rFonts w:eastAsia="仿宋_GB2312"/>
                <w:sz w:val="21"/>
                <w:szCs w:val="21"/>
              </w:rPr>
            </w:pPr>
          </w:p>
        </w:tc>
      </w:tr>
      <w:tr w14:paraId="2BF06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cantSplit/>
          <w:trHeight w:val="20" w:hRule="atLeast"/>
          <w:jc w:val="center"/>
        </w:trPr>
        <w:tc>
          <w:tcPr>
            <w:tcW w:w="223" w:type="pct"/>
            <w:vAlign w:val="center"/>
          </w:tcPr>
          <w:p w14:paraId="2390F9B3">
            <w:pPr>
              <w:overflowPunct w:val="0"/>
              <w:topLinePunct/>
              <w:spacing w:after="0" w:line="320" w:lineRule="exact"/>
              <w:jc w:val="center"/>
              <w:rPr>
                <w:rFonts w:eastAsia="仿宋_GB2312"/>
                <w:sz w:val="21"/>
                <w:szCs w:val="21"/>
              </w:rPr>
            </w:pPr>
            <w:r>
              <w:rPr>
                <w:rFonts w:hint="eastAsia" w:eastAsia="仿宋_GB2312"/>
                <w:sz w:val="21"/>
                <w:szCs w:val="21"/>
              </w:rPr>
              <w:t>28</w:t>
            </w:r>
          </w:p>
        </w:tc>
        <w:tc>
          <w:tcPr>
            <w:tcW w:w="358" w:type="pct"/>
            <w:vMerge w:val="continue"/>
            <w:vAlign w:val="center"/>
          </w:tcPr>
          <w:p w14:paraId="64D2A76B">
            <w:pPr>
              <w:overflowPunct w:val="0"/>
              <w:topLinePunct/>
              <w:spacing w:after="0" w:line="320" w:lineRule="exact"/>
              <w:jc w:val="center"/>
              <w:rPr>
                <w:rFonts w:eastAsia="仿宋_GB2312"/>
                <w:sz w:val="21"/>
                <w:szCs w:val="21"/>
              </w:rPr>
            </w:pPr>
          </w:p>
        </w:tc>
        <w:tc>
          <w:tcPr>
            <w:tcW w:w="678" w:type="pct"/>
            <w:vAlign w:val="center"/>
          </w:tcPr>
          <w:p w14:paraId="11EFBA7F">
            <w:pPr>
              <w:overflowPunct w:val="0"/>
              <w:topLinePunct/>
              <w:spacing w:after="0" w:line="320" w:lineRule="exact"/>
              <w:jc w:val="center"/>
              <w:rPr>
                <w:rFonts w:eastAsia="仿宋_GB2312"/>
                <w:sz w:val="21"/>
                <w:szCs w:val="21"/>
              </w:rPr>
            </w:pPr>
            <w:r>
              <w:rPr>
                <w:rFonts w:hint="eastAsia" w:eastAsia="仿宋_GB2312"/>
                <w:sz w:val="21"/>
                <w:szCs w:val="21"/>
              </w:rPr>
              <w:t>公众对城镇生态环境综合满意度（%）</w:t>
            </w:r>
          </w:p>
        </w:tc>
        <w:tc>
          <w:tcPr>
            <w:tcW w:w="790" w:type="pct"/>
            <w:vAlign w:val="center"/>
          </w:tcPr>
          <w:p w14:paraId="3BB87E3B">
            <w:pPr>
              <w:overflowPunct w:val="0"/>
              <w:topLinePunct/>
              <w:spacing w:after="0" w:line="320" w:lineRule="exact"/>
              <w:jc w:val="center"/>
              <w:rPr>
                <w:rFonts w:eastAsia="仿宋_GB2312"/>
                <w:sz w:val="21"/>
                <w:szCs w:val="21"/>
              </w:rPr>
            </w:pPr>
            <w:r>
              <w:rPr>
                <w:rFonts w:hint="eastAsia" w:eastAsia="仿宋_GB2312"/>
                <w:sz w:val="21"/>
                <w:szCs w:val="21"/>
              </w:rPr>
              <w:t>≥90</w:t>
            </w:r>
          </w:p>
        </w:tc>
        <w:tc>
          <w:tcPr>
            <w:tcW w:w="1524" w:type="pct"/>
            <w:vAlign w:val="center"/>
          </w:tcPr>
          <w:p w14:paraId="34E30F5A">
            <w:pPr>
              <w:overflowPunct w:val="0"/>
              <w:topLinePunct/>
              <w:spacing w:after="0" w:line="320" w:lineRule="exact"/>
              <w:jc w:val="center"/>
              <w:rPr>
                <w:rFonts w:eastAsia="仿宋_GB2312"/>
                <w:sz w:val="21"/>
                <w:szCs w:val="21"/>
              </w:rPr>
            </w:pPr>
            <w:r>
              <w:rPr>
                <w:rFonts w:hint="eastAsia" w:eastAsia="仿宋_GB2312"/>
                <w:sz w:val="21"/>
                <w:szCs w:val="21"/>
              </w:rPr>
              <w:t>指通过问卷抽样调查，了解公众对城镇生态环境各方面的主观满意程度。</w:t>
            </w:r>
          </w:p>
        </w:tc>
        <w:tc>
          <w:tcPr>
            <w:tcW w:w="683" w:type="pct"/>
            <w:vAlign w:val="center"/>
          </w:tcPr>
          <w:p w14:paraId="4344ECD4">
            <w:pPr>
              <w:overflowPunct w:val="0"/>
              <w:topLinePunct/>
              <w:spacing w:after="0" w:line="320" w:lineRule="exact"/>
              <w:jc w:val="center"/>
              <w:rPr>
                <w:rFonts w:eastAsia="仿宋_GB2312"/>
                <w:sz w:val="21"/>
                <w:szCs w:val="21"/>
              </w:rPr>
            </w:pPr>
            <w:r>
              <w:rPr>
                <w:rFonts w:hint="eastAsia" w:eastAsia="仿宋_GB2312"/>
                <w:sz w:val="21"/>
                <w:szCs w:val="21"/>
              </w:rPr>
              <w:t>省统计局</w:t>
            </w:r>
          </w:p>
        </w:tc>
        <w:tc>
          <w:tcPr>
            <w:tcW w:w="368" w:type="pct"/>
            <w:vAlign w:val="center"/>
          </w:tcPr>
          <w:p w14:paraId="2A6D3BC9">
            <w:pPr>
              <w:overflowPunct w:val="0"/>
              <w:topLinePunct/>
              <w:spacing w:after="0" w:line="320" w:lineRule="exact"/>
              <w:jc w:val="center"/>
              <w:rPr>
                <w:rFonts w:eastAsia="仿宋_GB2312"/>
                <w:sz w:val="21"/>
                <w:szCs w:val="21"/>
              </w:rPr>
            </w:pPr>
            <w:r>
              <w:rPr>
                <w:rFonts w:hint="eastAsia" w:eastAsia="仿宋_GB2312"/>
                <w:sz w:val="21"/>
                <w:szCs w:val="21"/>
              </w:rPr>
              <w:t>城区</w:t>
            </w:r>
          </w:p>
        </w:tc>
        <w:tc>
          <w:tcPr>
            <w:tcW w:w="376" w:type="pct"/>
            <w:vAlign w:val="center"/>
          </w:tcPr>
          <w:p w14:paraId="47E02E56">
            <w:pPr>
              <w:overflowPunct w:val="0"/>
              <w:topLinePunct/>
              <w:spacing w:after="0" w:line="320" w:lineRule="exact"/>
              <w:jc w:val="center"/>
              <w:rPr>
                <w:rFonts w:eastAsia="仿宋_GB2312"/>
                <w:sz w:val="21"/>
                <w:szCs w:val="21"/>
              </w:rPr>
            </w:pPr>
          </w:p>
        </w:tc>
      </w:tr>
    </w:tbl>
    <w:p w14:paraId="711EEF9C">
      <w:pPr>
        <w:overflowPunct w:val="0"/>
        <w:topLinePunct/>
        <w:spacing w:after="0"/>
        <w:rPr>
          <w:rFonts w:eastAsia="仿宋_GB2312"/>
          <w:sz w:val="32"/>
          <w:szCs w:val="32"/>
        </w:rPr>
        <w:sectPr>
          <w:headerReference r:id="rId7" w:type="default"/>
          <w:footerReference r:id="rId9" w:type="default"/>
          <w:headerReference r:id="rId8" w:type="even"/>
          <w:footerReference r:id="rId10" w:type="even"/>
          <w:pgSz w:w="16838" w:h="11906" w:orient="landscape"/>
          <w:pgMar w:top="1588" w:right="2098" w:bottom="1474" w:left="1247" w:header="851" w:footer="992" w:gutter="0"/>
          <w:cols w:space="720" w:num="1"/>
          <w:docGrid w:type="linesAndChars" w:linePitch="319" w:charSpace="0"/>
        </w:sectPr>
      </w:pPr>
      <w:bookmarkStart w:id="6" w:name="_GoBack"/>
      <w:bookmarkEnd w:id="6"/>
    </w:p>
    <w:p w14:paraId="541816FA">
      <w:pPr>
        <w:spacing w:after="0" w:line="600" w:lineRule="exact"/>
        <w:rPr>
          <w:rFonts w:eastAsia="仿宋_GB2312"/>
          <w:sz w:val="32"/>
          <w:szCs w:val="32"/>
        </w:rPr>
      </w:pPr>
    </w:p>
    <w:sectPr>
      <w:headerReference r:id="rId11" w:type="default"/>
      <w:footerReference r:id="rId13" w:type="default"/>
      <w:headerReference r:id="rId12" w:type="even"/>
      <w:pgSz w:w="11906" w:h="16838"/>
      <w:pgMar w:top="2098" w:right="1474" w:bottom="1247" w:left="1588" w:header="851" w:footer="992"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61C9">
    <w:pPr>
      <w:pStyle w:val="9"/>
      <w:spacing w:after="0"/>
      <w:ind w:left="220" w:leftChars="100" w:right="220" w:rightChars="100"/>
      <w:jc w:val="righ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11</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BBD6A">
    <w:pPr>
      <w:pStyle w:val="9"/>
      <w:spacing w:after="0"/>
      <w:ind w:left="220" w:leftChars="100" w:right="220" w:righ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10</w:t>
    </w:r>
    <w:r>
      <w:rPr>
        <w:rFonts w:ascii="宋体" w:hAnsi="宋体"/>
        <w:sz w:val="28"/>
        <w:szCs w:val="28"/>
      </w:rPr>
      <w:fldChar w:fldCharType="end"/>
    </w:r>
    <w:r>
      <w:rPr>
        <w:rFonts w:hint="eastAsia"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95A0C">
    <w:pPr>
      <w:pStyle w:val="9"/>
    </w:pPr>
    <w:r>
      <mc:AlternateContent>
        <mc:Choice Requires="wps">
          <w:drawing>
            <wp:anchor distT="0" distB="0" distL="114300" distR="114300" simplePos="0" relativeHeight="251660288" behindDoc="1" locked="0" layoutInCell="1" allowOverlap="1">
              <wp:simplePos x="0" y="0"/>
              <wp:positionH relativeFrom="column">
                <wp:posOffset>-364490</wp:posOffset>
              </wp:positionH>
              <wp:positionV relativeFrom="paragraph">
                <wp:posOffset>-1148080</wp:posOffset>
              </wp:positionV>
              <wp:extent cx="2360930" cy="1686560"/>
              <wp:effectExtent l="0" t="0" r="0" b="8890"/>
              <wp:wrapNone/>
              <wp:docPr id="2" name="TextBox 2"/>
              <wp:cNvGraphicFramePr/>
              <a:graphic xmlns:a="http://schemas.openxmlformats.org/drawingml/2006/main">
                <a:graphicData uri="http://schemas.microsoft.com/office/word/2010/wordprocessingShape">
                  <wps:wsp>
                    <wps:cNvSpPr txBox="1"/>
                    <wps:spPr bwMode="auto">
                      <a:xfrm>
                        <a:off x="0" y="0"/>
                        <a:ext cx="2360930" cy="1686560"/>
                      </a:xfrm>
                      <a:prstGeom prst="rect">
                        <a:avLst/>
                      </a:prstGeom>
                      <a:solidFill>
                        <a:srgbClr val="FFFFFF"/>
                      </a:solidFill>
                      <a:ln>
                        <a:noFill/>
                      </a:ln>
                    </wps:spPr>
                    <wps:txbx>
                      <w:txbxContent>
                        <w:p w14:paraId="5379DAB0">
                          <w:pPr>
                            <w:pStyle w:val="9"/>
                            <w:spacing w:after="0"/>
                            <w:ind w:left="220" w:leftChars="100" w:right="220" w:righ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15</w:t>
                          </w:r>
                          <w:r>
                            <w:rPr>
                              <w:rFonts w:ascii="宋体" w:hAnsi="宋体"/>
                              <w:sz w:val="28"/>
                              <w:szCs w:val="28"/>
                            </w:rPr>
                            <w:fldChar w:fldCharType="end"/>
                          </w:r>
                          <w:r>
                            <w:rPr>
                              <w:rFonts w:hint="eastAsia" w:ascii="宋体" w:hAnsi="宋体"/>
                              <w:sz w:val="28"/>
                              <w:szCs w:val="28"/>
                            </w:rPr>
                            <w:t xml:space="preserve"> —</w:t>
                          </w:r>
                        </w:p>
                      </w:txbxContent>
                    </wps:txbx>
                    <wps:bodyPr vert="vert" wrap="square" upright="1">
                      <a:spAutoFit/>
                    </wps:bodyPr>
                  </wps:wsp>
                </a:graphicData>
              </a:graphic>
              <wp14:sizeRelH relativeFrom="margin">
                <wp14:pctWidth>40000</wp14:pctWidth>
              </wp14:sizeRelH>
              <wp14:sizeRelV relativeFrom="page">
                <wp14:pctHeight>0</wp14:pctHeight>
              </wp14:sizeRelV>
            </wp:anchor>
          </w:drawing>
        </mc:Choice>
        <mc:Fallback>
          <w:pict>
            <v:shape id="TextBox 2" o:spid="_x0000_s1026" o:spt="202" type="#_x0000_t202" style="position:absolute;left:0pt;margin-left:-28.7pt;margin-top:-90.4pt;height:132.8pt;width:185.9pt;z-index:-251656192;mso-width-relative:margin;mso-height-relative:page;mso-width-percent:400;" fillcolor="#FFFFFF" filled="t" stroked="f" coordsize="21600,21600" o:gfxdata="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w0RVNgAAAALAQAADwAAAAAA&#10;AAABACAAAAAiAAAAZHJzL2Rvd25yZXYueG1sUEsBAhQAFAAAAAgAh07iQM6W4U/aAQAAuAMAAA4A&#10;AAAAAAAAAQAgAAAAJwEAAGRycy9lMm9Eb2MueG1sUEsFBgAAAAAGAAYAWQEAAHMFAAAAAA==&#10;">
              <v:fill on="t" focussize="0,0"/>
              <v:stroke on="f"/>
              <v:imagedata o:title=""/>
              <o:lock v:ext="edit" aspectratio="f"/>
              <v:textbox style="layout-flow:vertical;mso-fit-shape-to-text:t;">
                <w:txbxContent>
                  <w:p w14:paraId="5379DAB0">
                    <w:pPr>
                      <w:pStyle w:val="9"/>
                      <w:spacing w:after="0"/>
                      <w:ind w:left="220" w:leftChars="100" w:right="220" w:righ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15</w:t>
                    </w:r>
                    <w:r>
                      <w:rPr>
                        <w:rFonts w:ascii="宋体" w:hAnsi="宋体"/>
                        <w:sz w:val="28"/>
                        <w:szCs w:val="28"/>
                      </w:rPr>
                      <w:fldChar w:fldCharType="end"/>
                    </w:r>
                    <w:r>
                      <w:rPr>
                        <w:rFonts w:hint="eastAsia" w:ascii="宋体" w:hAnsi="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8AFF0">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6A9F1">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9B57">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BE9A2">
    <w:pPr>
      <w:pStyle w:val="10"/>
    </w:pPr>
    <w:r>
      <mc:AlternateContent>
        <mc:Choice Requires="wps">
          <w:drawing>
            <wp:anchor distT="0" distB="0" distL="114300" distR="114300" simplePos="0" relativeHeight="251659264" behindDoc="1" locked="0" layoutInCell="1" allowOverlap="1">
              <wp:simplePos x="0" y="0"/>
              <wp:positionH relativeFrom="column">
                <wp:posOffset>-493395</wp:posOffset>
              </wp:positionH>
              <wp:positionV relativeFrom="paragraph">
                <wp:posOffset>419100</wp:posOffset>
              </wp:positionV>
              <wp:extent cx="569595" cy="1377315"/>
              <wp:effectExtent l="0" t="0" r="1905" b="0"/>
              <wp:wrapNone/>
              <wp:docPr id="1" name="TextBox 1"/>
              <wp:cNvGraphicFramePr/>
              <a:graphic xmlns:a="http://schemas.openxmlformats.org/drawingml/2006/main">
                <a:graphicData uri="http://schemas.microsoft.com/office/word/2010/wordprocessingShape">
                  <wps:wsp>
                    <wps:cNvSpPr txBox="1"/>
                    <wps:spPr bwMode="auto">
                      <a:xfrm>
                        <a:off x="0" y="0"/>
                        <a:ext cx="569595" cy="1377315"/>
                      </a:xfrm>
                      <a:prstGeom prst="rect">
                        <a:avLst/>
                      </a:prstGeom>
                      <a:solidFill>
                        <a:srgbClr val="FFFFFF"/>
                      </a:solidFill>
                      <a:ln>
                        <a:noFill/>
                      </a:ln>
                    </wps:spPr>
                    <wps:txbx>
                      <w:txbxContent>
                        <w:p w14:paraId="037FAD1B">
                          <w:pPr>
                            <w:pStyle w:val="9"/>
                            <w:spacing w:after="0"/>
                            <w:ind w:left="220" w:leftChars="100" w:right="220" w:righ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14</w:t>
                          </w:r>
                          <w:r>
                            <w:rPr>
                              <w:rFonts w:ascii="宋体" w:hAnsi="宋体"/>
                              <w:sz w:val="28"/>
                              <w:szCs w:val="28"/>
                            </w:rPr>
                            <w:fldChar w:fldCharType="end"/>
                          </w:r>
                          <w:r>
                            <w:rPr>
                              <w:rFonts w:hint="eastAsia" w:ascii="宋体" w:hAnsi="宋体"/>
                              <w:sz w:val="28"/>
                              <w:szCs w:val="28"/>
                            </w:rPr>
                            <w:t xml:space="preserve"> —</w:t>
                          </w:r>
                        </w:p>
                      </w:txbxContent>
                    </wps:txbx>
                    <wps:bodyPr vert="vert" wrap="square" upright="1">
                      <a:noAutofit/>
                    </wps:bodyPr>
                  </wps:wsp>
                </a:graphicData>
              </a:graphic>
            </wp:anchor>
          </w:drawing>
        </mc:Choice>
        <mc:Fallback>
          <w:pict>
            <v:shape id="TextBox 1" o:spid="_x0000_s1026" o:spt="202" type="#_x0000_t202" style="position:absolute;left:0pt;margin-left:-38.85pt;margin-top:33pt;height:108.45pt;width:44.85pt;z-index:-251657216;mso-width-relative:page;mso-height-relative:page;" fillcolor="#FFFFFF" filled="t" stroked="f" coordsize="21600,21600" o:gfxdata="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IxtkfZAAAACQEAAA8AAAAAAAAA&#10;AQAgAAAAIgAAAGRycy9kb3ducmV2LnhtbFBLAQIUABQAAAAIAIdO4kBvCUmT1wEAALcDAAAOAAAA&#10;AAAAAAEAIAAAACgBAABkcnMvZTJvRG9jLnhtbFBLBQYAAAAABgAGAFkBAABxBQAAAAA=&#10;">
              <v:fill on="t" focussize="0,0"/>
              <v:stroke on="f"/>
              <v:imagedata o:title=""/>
              <o:lock v:ext="edit" aspectratio="f"/>
              <v:textbox style="layout-flow:vertical;">
                <w:txbxContent>
                  <w:p w14:paraId="037FAD1B">
                    <w:pPr>
                      <w:pStyle w:val="9"/>
                      <w:spacing w:after="0"/>
                      <w:ind w:left="220" w:leftChars="100" w:right="220" w:righ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14</w:t>
                    </w:r>
                    <w:r>
                      <w:rPr>
                        <w:rFonts w:ascii="宋体" w:hAnsi="宋体"/>
                        <w:sz w:val="28"/>
                        <w:szCs w:val="28"/>
                      </w:rPr>
                      <w:fldChar w:fldCharType="end"/>
                    </w:r>
                    <w:r>
                      <w:rPr>
                        <w:rFonts w:hint="eastAsia" w:ascii="宋体" w:hAnsi="宋体"/>
                        <w:sz w:val="28"/>
                        <w:szCs w:val="28"/>
                      </w:rPr>
                      <w:t xml:space="preserve">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DAC">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343BE">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HorizontalSpacing w:val="110"/>
  <w:drawingGridVerticalSpacing w:val="319"/>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82C"/>
    <w:rsid w:val="000326D3"/>
    <w:rsid w:val="000571A3"/>
    <w:rsid w:val="00095B07"/>
    <w:rsid w:val="000E77DE"/>
    <w:rsid w:val="0012399C"/>
    <w:rsid w:val="0013260F"/>
    <w:rsid w:val="00136DD5"/>
    <w:rsid w:val="001B64CF"/>
    <w:rsid w:val="0021311D"/>
    <w:rsid w:val="002F210A"/>
    <w:rsid w:val="00327E0A"/>
    <w:rsid w:val="003B3E26"/>
    <w:rsid w:val="003D7B96"/>
    <w:rsid w:val="003F3B1A"/>
    <w:rsid w:val="00424C77"/>
    <w:rsid w:val="004B0B07"/>
    <w:rsid w:val="004C396C"/>
    <w:rsid w:val="004F5064"/>
    <w:rsid w:val="00562E8A"/>
    <w:rsid w:val="005779A0"/>
    <w:rsid w:val="005836D6"/>
    <w:rsid w:val="00621DC2"/>
    <w:rsid w:val="00686B72"/>
    <w:rsid w:val="006E5CA0"/>
    <w:rsid w:val="00774A11"/>
    <w:rsid w:val="007C63DA"/>
    <w:rsid w:val="007F33E2"/>
    <w:rsid w:val="00801706"/>
    <w:rsid w:val="0083082C"/>
    <w:rsid w:val="00932C6C"/>
    <w:rsid w:val="009F0418"/>
    <w:rsid w:val="00A57520"/>
    <w:rsid w:val="00A875BA"/>
    <w:rsid w:val="00B338D8"/>
    <w:rsid w:val="00BB2006"/>
    <w:rsid w:val="00C86EC2"/>
    <w:rsid w:val="00CF09C9"/>
    <w:rsid w:val="00CF3364"/>
    <w:rsid w:val="00D205FE"/>
    <w:rsid w:val="00DA094A"/>
    <w:rsid w:val="00DD3721"/>
    <w:rsid w:val="00E165AB"/>
    <w:rsid w:val="00E23C2A"/>
    <w:rsid w:val="00E321AA"/>
    <w:rsid w:val="00EA1C98"/>
    <w:rsid w:val="00EA7803"/>
    <w:rsid w:val="00FB7F69"/>
    <w:rsid w:val="00FE66B5"/>
    <w:rsid w:val="00FF60C8"/>
    <w:rsid w:val="05E05BB6"/>
    <w:rsid w:val="76DC1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imes New Roman" w:hAnsi="Times New Roman" w:eastAsia="宋体" w:cs="Times New Roman"/>
      <w:kern w:val="2"/>
      <w:sz w:val="2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uiPriority w:val="99"/>
    <w:pPr>
      <w:spacing w:after="0" w:line="240" w:lineRule="auto"/>
    </w:pPr>
    <w:rPr>
      <w:sz w:val="18"/>
      <w:szCs w:val="18"/>
    </w:rPr>
  </w:style>
  <w:style w:type="paragraph" w:styleId="3">
    <w:name w:val="footer"/>
    <w:basedOn w:val="1"/>
    <w:link w:val="8"/>
    <w:unhideWhenUsed/>
    <w:uiPriority w:val="99"/>
    <w:pPr>
      <w:tabs>
        <w:tab w:val="center" w:pos="4153"/>
        <w:tab w:val="right" w:pos="8306"/>
      </w:tabs>
      <w:snapToGrid w:val="0"/>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uiPriority w:val="99"/>
    <w:rPr>
      <w:sz w:val="18"/>
      <w:szCs w:val="18"/>
    </w:rPr>
  </w:style>
  <w:style w:type="paragraph" w:customStyle="1" w:styleId="9">
    <w:name w:val="页脚1"/>
    <w:basedOn w:val="1"/>
    <w:unhideWhenUsed/>
    <w:qFormat/>
    <w:uiPriority w:val="99"/>
    <w:pPr>
      <w:tabs>
        <w:tab w:val="center" w:pos="4153"/>
        <w:tab w:val="right" w:pos="8306"/>
      </w:tabs>
      <w:snapToGrid w:val="0"/>
      <w:spacing w:line="240" w:lineRule="auto"/>
    </w:pPr>
    <w:rPr>
      <w:sz w:val="18"/>
      <w:szCs w:val="18"/>
    </w:rPr>
  </w:style>
  <w:style w:type="paragraph" w:customStyle="1" w:styleId="10">
    <w:name w:val="页眉1"/>
    <w:basedOn w:val="1"/>
    <w:unhideWhenUsed/>
    <w:qFormat/>
    <w:uiPriority w:val="99"/>
    <w:pPr>
      <w:tabs>
        <w:tab w:val="center" w:pos="4153"/>
        <w:tab w:val="right" w:pos="8306"/>
      </w:tabs>
      <w:snapToGrid w:val="0"/>
      <w:spacing w:line="240" w:lineRule="auto"/>
      <w:jc w:val="center"/>
    </w:pPr>
    <w:rPr>
      <w:sz w:val="18"/>
      <w:szCs w:val="18"/>
    </w:rPr>
  </w:style>
  <w:style w:type="character" w:customStyle="1" w:styleId="11">
    <w:name w:val="批注框文本 字符"/>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1177</Words>
  <Characters>6714</Characters>
  <Lines>55</Lines>
  <Paragraphs>15</Paragraphs>
  <TotalTime>168</TotalTime>
  <ScaleCrop>false</ScaleCrop>
  <LinksUpToDate>false</LinksUpToDate>
  <CharactersWithSpaces>7876</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2026-01-13T08:51:00Z</dcterms:created>
  <dc:creator>蓝皓新</dc:creator>
  <cp:lastModifiedBy>Administrator</cp:lastModifiedBy>
  <cp:lastPrinted>2026-02-11T06:22:00Z</cp:lastPrinted>
  <dcterms:modified xsi:type="dcterms:W3CDTF">2026-09-09T07:06:45Z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5C6A34B33A8543AFB058D31D4A3B9EE6_13</vt:lpwstr>
  </property>
</Properties>
</file>